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180" w:line="360" w:lineRule="auto"/>
        <w:jc w:val="center"/>
        <w:textAlignment w:val="auto"/>
        <w:rPr>
          <w:rFonts w:asciiTheme="majorEastAsia" w:hAnsiTheme="majorEastAsia" w:eastAsiaTheme="majorEastAsia"/>
          <w:color w:val="000000" w:themeColor="text1"/>
          <w:sz w:val="36"/>
          <w:szCs w:val="36"/>
        </w:rPr>
      </w:pPr>
      <w:r>
        <w:rPr>
          <w:rFonts w:hint="eastAsia" w:asciiTheme="majorEastAsia" w:hAnsiTheme="majorEastAsia" w:eastAsiaTheme="majorEastAsia"/>
          <w:color w:val="000000" w:themeColor="text1"/>
          <w:sz w:val="36"/>
          <w:szCs w:val="36"/>
        </w:rPr>
        <w:t>惠州市中大惠亚医院</w:t>
      </w:r>
      <w:bookmarkStart w:id="0" w:name="OLE_LINK2"/>
      <w:bookmarkStart w:id="1" w:name="OLE_LINK1"/>
      <w:r>
        <w:rPr>
          <w:rFonts w:hint="eastAsia" w:asciiTheme="majorEastAsia" w:hAnsiTheme="majorEastAsia" w:eastAsiaTheme="majorEastAsia"/>
          <w:color w:val="000000" w:themeColor="text1"/>
          <w:sz w:val="36"/>
          <w:szCs w:val="36"/>
        </w:rPr>
        <w:t>信息系统改造项目</w:t>
      </w:r>
      <w:bookmarkEnd w:id="0"/>
      <w:bookmarkEnd w:id="1"/>
      <w:r>
        <w:rPr>
          <w:rFonts w:hint="eastAsia" w:asciiTheme="majorEastAsia" w:hAnsiTheme="majorEastAsia" w:eastAsiaTheme="majorEastAsia"/>
          <w:color w:val="000000" w:themeColor="text1"/>
          <w:sz w:val="36"/>
          <w:szCs w:val="36"/>
        </w:rPr>
        <w:t>技术需求</w:t>
      </w:r>
    </w:p>
    <w:p>
      <w:pPr>
        <w:spacing w:line="360" w:lineRule="auto"/>
        <w:rPr>
          <w:rFonts w:asciiTheme="minorEastAsia" w:hAnsiTheme="minorEastAsia"/>
          <w:color w:val="000000" w:themeColor="text1"/>
        </w:rPr>
      </w:pPr>
      <w:r>
        <w:rPr>
          <w:rFonts w:hint="eastAsia" w:asciiTheme="minorEastAsia" w:hAnsiTheme="minorEastAsia"/>
          <w:b/>
          <w:color w:val="000000" w:themeColor="text1"/>
        </w:rPr>
        <w:t>（一）采购内容</w:t>
      </w:r>
    </w:p>
    <w:tbl>
      <w:tblPr>
        <w:tblStyle w:val="5"/>
        <w:tblW w:w="8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02"/>
        <w:gridCol w:w="3025"/>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blHeader/>
          <w:jc w:val="center"/>
        </w:trPr>
        <w:tc>
          <w:tcPr>
            <w:tcW w:w="740" w:type="dxa"/>
            <w:shd w:val="clear" w:color="auto" w:fill="auto"/>
            <w:vAlign w:val="center"/>
          </w:tcPr>
          <w:p>
            <w:pPr>
              <w:spacing w:line="360" w:lineRule="auto"/>
              <w:jc w:val="center"/>
              <w:rPr>
                <w:rFonts w:hint="eastAsia" w:ascii="仿宋" w:hAnsi="仿宋" w:eastAsia="仿宋" w:cs="仿宋"/>
                <w:color w:val="000000" w:themeColor="text1"/>
              </w:rPr>
            </w:pPr>
            <w:r>
              <w:rPr>
                <w:rFonts w:hint="eastAsia" w:ascii="仿宋" w:hAnsi="仿宋" w:eastAsia="仿宋" w:cs="仿宋"/>
                <w:b/>
                <w:color w:val="000000" w:themeColor="text1"/>
              </w:rPr>
              <w:t>序号</w:t>
            </w:r>
          </w:p>
        </w:tc>
        <w:tc>
          <w:tcPr>
            <w:tcW w:w="3602" w:type="dxa"/>
            <w:shd w:val="clear" w:color="auto" w:fill="auto"/>
            <w:vAlign w:val="center"/>
          </w:tcPr>
          <w:p>
            <w:pPr>
              <w:spacing w:line="360" w:lineRule="auto"/>
              <w:jc w:val="center"/>
              <w:rPr>
                <w:rFonts w:hint="eastAsia" w:ascii="仿宋" w:hAnsi="仿宋" w:eastAsia="仿宋" w:cs="仿宋"/>
                <w:color w:val="000000" w:themeColor="text1"/>
              </w:rPr>
            </w:pPr>
            <w:r>
              <w:rPr>
                <w:rFonts w:hint="eastAsia" w:ascii="仿宋" w:hAnsi="仿宋" w:eastAsia="仿宋" w:cs="仿宋"/>
                <w:b/>
                <w:color w:val="000000" w:themeColor="text1"/>
              </w:rPr>
              <w:t>采购项目名称</w:t>
            </w:r>
          </w:p>
        </w:tc>
        <w:tc>
          <w:tcPr>
            <w:tcW w:w="3025" w:type="dxa"/>
            <w:vAlign w:val="center"/>
          </w:tcPr>
          <w:p>
            <w:pPr>
              <w:spacing w:line="360" w:lineRule="auto"/>
              <w:jc w:val="center"/>
              <w:rPr>
                <w:rFonts w:hint="eastAsia" w:ascii="仿宋" w:hAnsi="仿宋" w:eastAsia="仿宋" w:cs="仿宋"/>
                <w:b/>
                <w:color w:val="000000" w:themeColor="text1"/>
              </w:rPr>
            </w:pPr>
            <w:r>
              <w:rPr>
                <w:rFonts w:hint="eastAsia" w:ascii="仿宋" w:hAnsi="仿宋" w:eastAsia="仿宋" w:cs="仿宋"/>
                <w:b/>
                <w:color w:val="000000" w:themeColor="text1"/>
              </w:rPr>
              <w:t>具体内容</w:t>
            </w:r>
          </w:p>
        </w:tc>
        <w:tc>
          <w:tcPr>
            <w:tcW w:w="704" w:type="dxa"/>
            <w:shd w:val="clear" w:color="auto" w:fill="auto"/>
            <w:vAlign w:val="center"/>
          </w:tcPr>
          <w:p>
            <w:pPr>
              <w:spacing w:line="360" w:lineRule="auto"/>
              <w:jc w:val="center"/>
              <w:rPr>
                <w:rFonts w:hint="eastAsia" w:ascii="仿宋" w:hAnsi="仿宋" w:eastAsia="仿宋" w:cs="仿宋"/>
                <w:color w:val="000000" w:themeColor="text1"/>
              </w:rPr>
            </w:pPr>
            <w:r>
              <w:rPr>
                <w:rFonts w:hint="eastAsia" w:ascii="仿宋" w:hAnsi="仿宋" w:eastAsia="仿宋" w:cs="仿宋"/>
                <w:b/>
                <w:color w:val="000000" w:themeColor="text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spacing w:line="360" w:lineRule="auto"/>
              <w:jc w:val="center"/>
              <w:rPr>
                <w:rFonts w:hint="eastAsia" w:ascii="仿宋" w:hAnsi="仿宋" w:eastAsia="仿宋" w:cs="仿宋"/>
                <w:color w:val="000000" w:themeColor="text1"/>
              </w:rPr>
            </w:pPr>
            <w:r>
              <w:rPr>
                <w:rFonts w:hint="eastAsia" w:ascii="仿宋" w:hAnsi="仿宋" w:eastAsia="仿宋" w:cs="仿宋"/>
                <w:color w:val="000000" w:themeColor="text1"/>
              </w:rPr>
              <w:t>1</w:t>
            </w:r>
          </w:p>
        </w:tc>
        <w:tc>
          <w:tcPr>
            <w:tcW w:w="3602" w:type="dxa"/>
            <w:vMerge w:val="restart"/>
            <w:shd w:val="clear" w:color="auto" w:fill="auto"/>
            <w:vAlign w:val="center"/>
          </w:tcPr>
          <w:p>
            <w:pPr>
              <w:spacing w:line="360" w:lineRule="auto"/>
              <w:ind w:left="720" w:hanging="720" w:hangingChars="300"/>
              <w:jc w:val="center"/>
              <w:rPr>
                <w:rFonts w:hint="eastAsia" w:ascii="仿宋" w:hAnsi="仿宋" w:eastAsia="仿宋" w:cs="仿宋"/>
                <w:color w:val="000000" w:themeColor="text1"/>
              </w:rPr>
            </w:pPr>
            <w:r>
              <w:rPr>
                <w:rFonts w:hint="eastAsia" w:ascii="仿宋" w:hAnsi="仿宋" w:eastAsia="仿宋" w:cs="仿宋"/>
                <w:color w:val="000000" w:themeColor="text1"/>
              </w:rPr>
              <w:t>医院信息系统医保接口改造项目</w:t>
            </w:r>
          </w:p>
        </w:tc>
        <w:tc>
          <w:tcPr>
            <w:tcW w:w="3025" w:type="dxa"/>
            <w:vAlign w:val="center"/>
          </w:tcPr>
          <w:p>
            <w:pPr>
              <w:pStyle w:val="10"/>
              <w:ind w:firstLine="0" w:firstLineChars="0"/>
              <w:jc w:val="center"/>
              <w:rPr>
                <w:rFonts w:hint="eastAsia" w:ascii="仿宋" w:hAnsi="仿宋" w:eastAsia="仿宋" w:cs="仿宋"/>
                <w:sz w:val="24"/>
                <w:szCs w:val="24"/>
              </w:rPr>
            </w:pPr>
            <w:r>
              <w:rPr>
                <w:rFonts w:hint="eastAsia" w:ascii="仿宋" w:hAnsi="仿宋" w:eastAsia="仿宋" w:cs="仿宋"/>
                <w:sz w:val="24"/>
                <w:szCs w:val="24"/>
              </w:rPr>
              <w:t>移动支付（国标）接口</w:t>
            </w:r>
          </w:p>
        </w:tc>
        <w:tc>
          <w:tcPr>
            <w:tcW w:w="704" w:type="dxa"/>
            <w:vMerge w:val="restart"/>
            <w:shd w:val="clear" w:color="auto" w:fill="auto"/>
            <w:vAlign w:val="center"/>
          </w:tcPr>
          <w:p>
            <w:pPr>
              <w:spacing w:line="360" w:lineRule="auto"/>
              <w:jc w:val="center"/>
              <w:rPr>
                <w:rFonts w:hint="eastAsia" w:ascii="仿宋" w:hAnsi="仿宋" w:eastAsia="仿宋" w:cs="仿宋"/>
                <w:color w:val="000000" w:themeColor="text1"/>
              </w:rPr>
            </w:pPr>
            <w:r>
              <w:rPr>
                <w:rFonts w:hint="eastAsia" w:ascii="仿宋" w:hAnsi="仿宋" w:eastAsia="仿宋" w:cs="仿宋"/>
                <w:color w:val="000000" w:themeColor="text1"/>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spacing w:line="360" w:lineRule="auto"/>
              <w:jc w:val="center"/>
              <w:rPr>
                <w:rFonts w:hint="eastAsia" w:ascii="仿宋" w:hAnsi="仿宋" w:eastAsia="仿宋" w:cs="仿宋"/>
                <w:color w:val="000000" w:themeColor="text1"/>
              </w:rPr>
            </w:pPr>
          </w:p>
        </w:tc>
        <w:tc>
          <w:tcPr>
            <w:tcW w:w="3602" w:type="dxa"/>
            <w:vMerge w:val="continue"/>
            <w:shd w:val="clear" w:color="auto" w:fill="auto"/>
            <w:vAlign w:val="center"/>
          </w:tcPr>
          <w:p>
            <w:pPr>
              <w:spacing w:line="360" w:lineRule="auto"/>
              <w:ind w:left="720" w:hanging="720" w:hangingChars="300"/>
              <w:jc w:val="center"/>
              <w:rPr>
                <w:rFonts w:hint="eastAsia" w:ascii="仿宋" w:hAnsi="仿宋" w:eastAsia="仿宋" w:cs="仿宋"/>
                <w:color w:val="000000" w:themeColor="text1"/>
              </w:rPr>
            </w:pPr>
          </w:p>
        </w:tc>
        <w:tc>
          <w:tcPr>
            <w:tcW w:w="3025" w:type="dxa"/>
            <w:vAlign w:val="center"/>
          </w:tcPr>
          <w:p>
            <w:pPr>
              <w:pStyle w:val="10"/>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电子处方（国标）接口</w:t>
            </w:r>
          </w:p>
        </w:tc>
        <w:tc>
          <w:tcPr>
            <w:tcW w:w="704" w:type="dxa"/>
            <w:vMerge w:val="continue"/>
            <w:shd w:val="clear" w:color="auto" w:fill="auto"/>
            <w:vAlign w:val="center"/>
          </w:tcPr>
          <w:p>
            <w:pPr>
              <w:spacing w:line="360" w:lineRule="auto"/>
              <w:jc w:val="center"/>
              <w:rPr>
                <w:rFonts w:hint="eastAsia" w:ascii="仿宋" w:hAnsi="仿宋" w:eastAsia="仿宋" w:cs="仿宋"/>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spacing w:line="360" w:lineRule="auto"/>
              <w:jc w:val="center"/>
              <w:rPr>
                <w:rFonts w:hint="eastAsia" w:ascii="仿宋" w:hAnsi="仿宋" w:eastAsia="仿宋" w:cs="仿宋"/>
                <w:color w:val="000000" w:themeColor="text1"/>
              </w:rPr>
            </w:pPr>
          </w:p>
        </w:tc>
        <w:tc>
          <w:tcPr>
            <w:tcW w:w="3602" w:type="dxa"/>
            <w:vMerge w:val="continue"/>
            <w:shd w:val="clear" w:color="auto" w:fill="auto"/>
            <w:vAlign w:val="center"/>
          </w:tcPr>
          <w:p>
            <w:pPr>
              <w:spacing w:line="360" w:lineRule="auto"/>
              <w:ind w:left="720" w:hanging="720" w:hangingChars="300"/>
              <w:jc w:val="center"/>
              <w:rPr>
                <w:rFonts w:hint="eastAsia" w:ascii="仿宋" w:hAnsi="仿宋" w:eastAsia="仿宋" w:cs="仿宋"/>
                <w:color w:val="000000" w:themeColor="text1"/>
              </w:rPr>
            </w:pPr>
          </w:p>
        </w:tc>
        <w:tc>
          <w:tcPr>
            <w:tcW w:w="3025" w:type="dxa"/>
            <w:vAlign w:val="center"/>
          </w:tcPr>
          <w:p>
            <w:pPr>
              <w:pStyle w:val="10"/>
              <w:ind w:firstLine="0" w:firstLineChars="0"/>
              <w:jc w:val="center"/>
              <w:rPr>
                <w:rFonts w:hint="eastAsia" w:ascii="仿宋" w:hAnsi="仿宋" w:eastAsia="仿宋" w:cs="仿宋"/>
                <w:sz w:val="24"/>
                <w:szCs w:val="24"/>
              </w:rPr>
            </w:pPr>
            <w:r>
              <w:rPr>
                <w:rFonts w:hint="eastAsia" w:ascii="仿宋" w:hAnsi="仿宋" w:eastAsia="仿宋" w:cs="仿宋"/>
                <w:sz w:val="24"/>
                <w:szCs w:val="24"/>
              </w:rPr>
              <w:t>自费患者费用上传接口</w:t>
            </w:r>
          </w:p>
        </w:tc>
        <w:tc>
          <w:tcPr>
            <w:tcW w:w="704" w:type="dxa"/>
            <w:vMerge w:val="continue"/>
            <w:shd w:val="clear" w:color="auto" w:fill="auto"/>
            <w:vAlign w:val="center"/>
          </w:tcPr>
          <w:p>
            <w:pPr>
              <w:spacing w:line="360" w:lineRule="auto"/>
              <w:jc w:val="center"/>
              <w:rPr>
                <w:rFonts w:hint="eastAsia" w:ascii="仿宋" w:hAnsi="仿宋" w:eastAsia="仿宋" w:cs="仿宋"/>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spacing w:line="360" w:lineRule="auto"/>
              <w:jc w:val="center"/>
              <w:rPr>
                <w:rFonts w:hint="eastAsia" w:ascii="仿宋" w:hAnsi="仿宋" w:eastAsia="仿宋" w:cs="仿宋"/>
                <w:color w:val="000000" w:themeColor="text1"/>
              </w:rPr>
            </w:pPr>
          </w:p>
        </w:tc>
        <w:tc>
          <w:tcPr>
            <w:tcW w:w="3602" w:type="dxa"/>
            <w:vMerge w:val="continue"/>
            <w:shd w:val="clear" w:color="auto" w:fill="auto"/>
            <w:vAlign w:val="center"/>
          </w:tcPr>
          <w:p>
            <w:pPr>
              <w:spacing w:line="360" w:lineRule="auto"/>
              <w:ind w:left="720" w:hanging="720" w:hangingChars="300"/>
              <w:jc w:val="center"/>
              <w:rPr>
                <w:rFonts w:hint="eastAsia" w:ascii="仿宋" w:hAnsi="仿宋" w:eastAsia="仿宋" w:cs="仿宋"/>
                <w:color w:val="000000" w:themeColor="text1"/>
              </w:rPr>
            </w:pPr>
          </w:p>
        </w:tc>
        <w:tc>
          <w:tcPr>
            <w:tcW w:w="3025" w:type="dxa"/>
            <w:vAlign w:val="center"/>
          </w:tcPr>
          <w:p>
            <w:pPr>
              <w:pStyle w:val="10"/>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智能监管子系统接口</w:t>
            </w:r>
          </w:p>
        </w:tc>
        <w:tc>
          <w:tcPr>
            <w:tcW w:w="704" w:type="dxa"/>
            <w:vMerge w:val="continue"/>
            <w:shd w:val="clear" w:color="auto" w:fill="auto"/>
            <w:vAlign w:val="center"/>
          </w:tcPr>
          <w:p>
            <w:pPr>
              <w:spacing w:line="360" w:lineRule="auto"/>
              <w:jc w:val="center"/>
              <w:rPr>
                <w:rFonts w:hint="eastAsia" w:ascii="仿宋" w:hAnsi="仿宋" w:eastAsia="仿宋" w:cs="仿宋"/>
                <w:color w:val="000000" w:themeColor="text1"/>
              </w:rPr>
            </w:pP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right="-226" w:rightChars="-94"/>
        <w:textAlignment w:val="auto"/>
        <w:rPr>
          <w:rFonts w:ascii="仿宋" w:hAnsi="仿宋" w:eastAsia="仿宋"/>
        </w:rPr>
      </w:pPr>
      <w:r>
        <w:rPr>
          <w:rFonts w:ascii="仿宋" w:hAnsi="仿宋" w:eastAsia="仿宋"/>
        </w:rPr>
        <w:t>说明：“▲”所标参数为专家进行综合评分的重要参数，但不作为废标条款。</w:t>
      </w:r>
    </w:p>
    <w:p>
      <w:pPr>
        <w:pStyle w:val="10"/>
        <w:spacing w:line="360" w:lineRule="auto"/>
        <w:ind w:left="420" w:leftChars="0" w:firstLine="420" w:firstLineChars="0"/>
        <w:rPr>
          <w:rFonts w:ascii="仿宋" w:hAnsi="仿宋" w:eastAsia="仿宋"/>
          <w:sz w:val="24"/>
          <w:szCs w:val="24"/>
        </w:rPr>
      </w:pPr>
      <w:r>
        <w:rPr>
          <w:rFonts w:ascii="仿宋" w:hAnsi="仿宋" w:eastAsia="仿宋"/>
          <w:sz w:val="24"/>
          <w:szCs w:val="24"/>
        </w:rPr>
        <w:t xml:space="preserve">“★”标注项为不可偏离的重要响应内容，否则作无效投标处理。 </w:t>
      </w:r>
    </w:p>
    <w:p>
      <w:pPr>
        <w:spacing w:line="360" w:lineRule="auto"/>
        <w:rPr>
          <w:rFonts w:hint="eastAsia" w:asciiTheme="minorEastAsia" w:hAnsiTheme="minorEastAsia"/>
          <w:b/>
          <w:color w:val="000000" w:themeColor="text1"/>
        </w:rPr>
      </w:pPr>
      <w:r>
        <w:rPr>
          <w:rFonts w:hint="eastAsia" w:asciiTheme="minorEastAsia" w:hAnsiTheme="minorEastAsia"/>
          <w:b/>
          <w:color w:val="000000" w:themeColor="text1"/>
          <w:lang w:eastAsia="zh-CN"/>
        </w:rPr>
        <w:t>（二）</w:t>
      </w:r>
      <w:r>
        <w:rPr>
          <w:rFonts w:hint="eastAsia" w:asciiTheme="minorEastAsia" w:hAnsiTheme="minorEastAsia"/>
          <w:b/>
          <w:color w:val="000000" w:themeColor="text1"/>
        </w:rPr>
        <w:t>项目背景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rPr>
        <w:t>根据惠州市医疗保障局下发的《关于建立全市定点医药机构医保信息化标准化考核评分机制的通知》（惠医保发[2022]64号）、广东省医疗保障局转发国家医保局网信办关于《医疗保障信息平台电子处方中心技术规范》粤医保函[2022]323号以及《广东省医疗保障局关于进一步做好移动支付应用推广的通知》粤医保便函[2022]1459号的通知要求，配合国家医疗保障局关于医疗保障信息化建设总体部署。根据惠州医疗保障局的工作安排，定点医疗机构需要完成医保信息化标准化改造工作。我院作为大亚湾区唯一的三级医院，为大亚湾区人民提供医疗保障服务。医院拟改造升级医保联网结算接口，用于参保人在惠州市中大惠亚医院就医实时结算工作。</w:t>
      </w:r>
    </w:p>
    <w:p>
      <w:pPr>
        <w:spacing w:line="360" w:lineRule="auto"/>
        <w:rPr>
          <w:rFonts w:hint="eastAsia" w:asciiTheme="minorEastAsia" w:hAnsiTheme="minorEastAsia"/>
          <w:b/>
          <w:color w:val="000000" w:themeColor="text1"/>
          <w:lang w:eastAsia="zh-CN"/>
        </w:rPr>
      </w:pPr>
      <w:r>
        <w:rPr>
          <w:rFonts w:hint="eastAsia" w:asciiTheme="minorEastAsia" w:hAnsiTheme="minorEastAsia"/>
          <w:b/>
          <w:color w:val="000000" w:themeColor="text1"/>
          <w:lang w:eastAsia="zh-CN"/>
        </w:rPr>
        <w:t>（三）总体要求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rPr>
      </w:pPr>
      <w:r>
        <w:rPr>
          <w:rFonts w:hint="eastAsia" w:ascii="仿宋" w:hAnsi="仿宋" w:eastAsia="仿宋" w:cs="仿宋"/>
        </w:rPr>
        <w:t>1、本项目保证现有系统平稳运行的基础上，通过与广东省医疗保障信息平台提供的医疗保障信息平台定点医药机构接口规范进行对接。</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rPr>
      </w:pPr>
      <w:r>
        <w:rPr>
          <w:rFonts w:hint="eastAsia" w:ascii="仿宋" w:hAnsi="仿宋" w:eastAsia="仿宋" w:cs="仿宋"/>
        </w:rPr>
        <w:t>2、所提供的产品应采用成熟的软件开发技术和系统架构，符合卫生部对医院软件接口的规范要求。严格权限设置，安全保密；运行稳定可靠，系统响应及时，数据准确，操作简便,界面友好。</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rPr>
      </w:pPr>
      <w:r>
        <w:rPr>
          <w:rFonts w:hint="eastAsia" w:ascii="仿宋" w:hAnsi="仿宋" w:eastAsia="仿宋" w:cs="仿宋"/>
        </w:rPr>
        <w:t>3、软件设计根据国家有关软件工程的标准，符合卫生部《医院信息系统基本功能规范》要求，软件数据字典遵循国内、省市用户数据字典规范、标准。</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rPr>
      </w:pPr>
      <w:r>
        <w:rPr>
          <w:rFonts w:hint="eastAsia" w:ascii="仿宋" w:hAnsi="仿宋" w:eastAsia="仿宋" w:cs="仿宋"/>
        </w:rPr>
        <w:t>4、支持各类数据查询，提供各种统计分类，为管理、医疗、科研提供数据支持。</w:t>
      </w:r>
    </w:p>
    <w:p>
      <w:pPr>
        <w:spacing w:line="360" w:lineRule="auto"/>
        <w:rPr>
          <w:rFonts w:hint="eastAsia" w:asciiTheme="minorEastAsia" w:hAnsiTheme="minorEastAsia"/>
          <w:b/>
          <w:color w:val="000000" w:themeColor="text1"/>
          <w:lang w:eastAsia="zh-CN"/>
        </w:rPr>
      </w:pPr>
      <w:r>
        <w:rPr>
          <w:rFonts w:hint="eastAsia" w:asciiTheme="minorEastAsia" w:hAnsiTheme="minorEastAsia"/>
          <w:b/>
          <w:color w:val="000000" w:themeColor="text1"/>
          <w:lang w:eastAsia="zh-CN"/>
        </w:rPr>
        <w:t>（四）建设内容</w:t>
      </w:r>
    </w:p>
    <w:p>
      <w:pPr>
        <w:keepNext w:val="0"/>
        <w:keepLines w:val="0"/>
        <w:pageBreakBefore w:val="0"/>
        <w:widowControl/>
        <w:kinsoku/>
        <w:wordWrap/>
        <w:overflowPunct/>
        <w:topLinePunct w:val="0"/>
        <w:autoSpaceDE/>
        <w:autoSpaceDN/>
        <w:bidi w:val="0"/>
        <w:adjustRightInd/>
        <w:snapToGrid/>
        <w:spacing w:after="157" w:afterLines="50" w:line="360" w:lineRule="auto"/>
        <w:textAlignment w:val="auto"/>
        <w:rPr>
          <w:rFonts w:hint="eastAsia" w:ascii="仿宋" w:hAnsi="仿宋" w:eastAsia="仿宋" w:cs="仿宋"/>
          <w:b w:val="0"/>
          <w:bCs/>
          <w:lang w:val="en-US" w:eastAsia="zh-CN"/>
        </w:rPr>
      </w:pPr>
      <w:r>
        <w:rPr>
          <w:rFonts w:hint="eastAsia" w:ascii="仿宋" w:hAnsi="仿宋" w:eastAsia="仿宋" w:cs="仿宋"/>
          <w:b w:val="0"/>
          <w:bCs/>
          <w:color w:val="000000" w:themeColor="text1"/>
        </w:rPr>
        <w:t>1、</w:t>
      </w:r>
      <w:r>
        <w:rPr>
          <w:rFonts w:hint="eastAsia" w:ascii="仿宋" w:hAnsi="仿宋" w:eastAsia="仿宋" w:cs="仿宋"/>
          <w:b w:val="0"/>
          <w:bCs/>
        </w:rPr>
        <w:t>移动支付（国标）接口列表</w:t>
      </w:r>
    </w:p>
    <w:tbl>
      <w:tblPr>
        <w:tblStyle w:val="6"/>
        <w:tblW w:w="85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276"/>
        <w:gridCol w:w="60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242" w:type="dxa"/>
            <w:vAlign w:val="center"/>
          </w:tcPr>
          <w:p>
            <w:pPr>
              <w:spacing w:line="360" w:lineRule="auto"/>
              <w:jc w:val="center"/>
              <w:rPr>
                <w:rFonts w:ascii="仿宋" w:hAnsi="仿宋" w:eastAsia="仿宋"/>
                <w:b/>
                <w:szCs w:val="32"/>
              </w:rPr>
            </w:pPr>
            <w:r>
              <w:rPr>
                <w:rFonts w:ascii="仿宋" w:hAnsi="仿宋" w:eastAsia="仿宋"/>
                <w:b/>
                <w:szCs w:val="32"/>
              </w:rPr>
              <w:t>接口编号</w:t>
            </w:r>
          </w:p>
        </w:tc>
        <w:tc>
          <w:tcPr>
            <w:tcW w:w="1276" w:type="dxa"/>
            <w:vAlign w:val="center"/>
          </w:tcPr>
          <w:p>
            <w:pPr>
              <w:spacing w:line="360" w:lineRule="auto"/>
              <w:jc w:val="center"/>
              <w:rPr>
                <w:rFonts w:ascii="仿宋" w:hAnsi="仿宋" w:eastAsia="仿宋"/>
                <w:b/>
                <w:szCs w:val="32"/>
              </w:rPr>
            </w:pPr>
            <w:r>
              <w:rPr>
                <w:rFonts w:ascii="仿宋" w:hAnsi="仿宋" w:eastAsia="仿宋"/>
                <w:b/>
                <w:szCs w:val="32"/>
              </w:rPr>
              <w:t>接口名称</w:t>
            </w:r>
          </w:p>
        </w:tc>
        <w:tc>
          <w:tcPr>
            <w:tcW w:w="6048" w:type="dxa"/>
            <w:vAlign w:val="center"/>
          </w:tcPr>
          <w:p>
            <w:pPr>
              <w:spacing w:line="360" w:lineRule="auto"/>
              <w:jc w:val="center"/>
              <w:rPr>
                <w:rFonts w:ascii="仿宋" w:hAnsi="仿宋" w:eastAsia="仿宋"/>
                <w:b/>
                <w:szCs w:val="32"/>
              </w:rPr>
            </w:pPr>
            <w:r>
              <w:rPr>
                <w:rFonts w:hint="eastAsia" w:ascii="仿宋" w:hAnsi="仿宋" w:eastAsia="仿宋"/>
                <w:b/>
                <w:szCs w:val="32"/>
              </w:rPr>
              <w:t>交易</w:t>
            </w:r>
            <w:r>
              <w:rPr>
                <w:rFonts w:ascii="仿宋" w:hAnsi="仿宋" w:eastAsia="仿宋"/>
                <w:b/>
                <w:szCs w:val="32"/>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6101</w:t>
            </w:r>
          </w:p>
        </w:tc>
        <w:tc>
          <w:tcPr>
            <w:tcW w:w="1276" w:type="dxa"/>
            <w:vAlign w:val="center"/>
          </w:tcPr>
          <w:p>
            <w:pPr>
              <w:pStyle w:val="10"/>
              <w:spacing w:line="360" w:lineRule="auto"/>
              <w:ind w:firstLine="0" w:firstLineChars="0"/>
              <w:jc w:val="center"/>
              <w:rPr>
                <w:rFonts w:ascii="仿宋" w:hAnsi="仿宋" w:eastAsia="仿宋"/>
                <w:sz w:val="24"/>
                <w:szCs w:val="24"/>
              </w:rPr>
            </w:pPr>
            <w:r>
              <w:rPr>
                <w:rFonts w:ascii="仿宋" w:hAnsi="仿宋" w:eastAsia="仿宋"/>
                <w:sz w:val="24"/>
                <w:szCs w:val="24"/>
              </w:rPr>
              <w:t>医保电子凭证</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用户展示医保电子凭证二维码，定点医药机构使用扫码设备扫描用户展示的二维码，通 过国家医保电子凭证动态库解析该二维码后获取用户基本信息等。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6201</w:t>
            </w:r>
          </w:p>
        </w:tc>
        <w:tc>
          <w:tcPr>
            <w:tcW w:w="1276" w:type="dxa"/>
            <w:vAlign w:val="center"/>
          </w:tcPr>
          <w:p>
            <w:pPr>
              <w:pStyle w:val="10"/>
              <w:spacing w:line="360" w:lineRule="auto"/>
              <w:ind w:firstLine="0" w:firstLineChars="0"/>
              <w:jc w:val="center"/>
              <w:rPr>
                <w:rFonts w:ascii="仿宋" w:hAnsi="仿宋" w:eastAsia="仿宋"/>
                <w:sz w:val="24"/>
                <w:szCs w:val="24"/>
              </w:rPr>
            </w:pPr>
            <w:r>
              <w:rPr>
                <w:rFonts w:ascii="仿宋" w:hAnsi="仿宋" w:eastAsia="仿宋"/>
                <w:sz w:val="24"/>
                <w:szCs w:val="24"/>
              </w:rPr>
              <w:t>费用明细上传</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定点医药机构向地方移动支付中心发起上传费用明细交易，由地方移动支付中心向地方医保核心系统发起验证后完成[2204]、[2301]、[6201]接口业务交互。定点医药机构需要修改处方时，需要先撤销上传，修改完成之后重新上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6202</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支付下单</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无收银台模式下，定点医药机构向地方移动支付中心发起医保移动支付下单请求，地方 移动支付中心进行移动支付权限核验后，返回支付下单结果信息。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6203</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医保退费</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定点医药机构对已经完成移动支付交易的医保订单，发起退费交易，医保订单交易原路 返还参保人医保账户或现金支付账户。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6204</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医保订单信息同步</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定点医药机构向地方移动支付中心发起医保移动支付下单请求，地方移动支付中心进行 移动支付权限核验后返回医保收银台地址并向参保人展示医保订单信息，参保人确认继续支 付后，通过医保订单信息同步接口返回医保下单结果信息。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6205</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银行卡支付下单</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无收银台模式下，定点医药机构实现银行卡混合支付效果，可向地方移动支付中心发起银行卡混合支付下单请求，地方移动支付中心进行移动支付权限核验后，返回支付下单结果 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6301</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医保订单结算结果查询</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定点医药机构向地方移动支付中心发起医保订单结算结果查询，返回统筹基金支付、个人账户支付、现金支付等结算信息。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6302</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医保结算结果通知</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医保结算成功之后，调用方主动向接口提供方发起结算结果通知，接口提供方把医保结 算结果数据回写自己系统及完成自己系统内的结算确认，成功之后返回结算成功标识或结算 失败标识。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6401</w:t>
            </w:r>
          </w:p>
        </w:tc>
        <w:tc>
          <w:tcPr>
            <w:tcW w:w="12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费用明细上传撤销</w:t>
            </w:r>
          </w:p>
        </w:tc>
        <w:tc>
          <w:tcPr>
            <w:tcW w:w="6048" w:type="dxa"/>
          </w:tcPr>
          <w:p>
            <w:pPr>
              <w:pStyle w:val="10"/>
              <w:spacing w:line="360" w:lineRule="auto"/>
              <w:ind w:firstLine="424" w:firstLineChars="177"/>
              <w:rPr>
                <w:rFonts w:ascii="仿宋" w:hAnsi="仿宋" w:eastAsia="仿宋"/>
                <w:sz w:val="24"/>
                <w:szCs w:val="24"/>
              </w:rPr>
            </w:pPr>
            <w:r>
              <w:rPr>
                <w:rFonts w:ascii="仿宋" w:hAnsi="仿宋" w:eastAsia="仿宋"/>
                <w:sz w:val="24"/>
                <w:szCs w:val="24"/>
              </w:rPr>
              <w:t>定点医药机构由于处方变更等情况，向地方移动支付中心发起费用明细上传撤销交易， 由地方移动支付中心向地方医保核心系统发起验证后完成[2205]、[2302]接口业务交互。适 用于已经上传但未结算确认的费用明细。</w:t>
            </w:r>
          </w:p>
        </w:tc>
      </w:tr>
    </w:tbl>
    <w:p>
      <w:pPr>
        <w:pStyle w:val="10"/>
        <w:spacing w:line="360" w:lineRule="auto"/>
        <w:ind w:firstLine="424" w:firstLineChars="177"/>
        <w:rPr>
          <w:rFonts w:ascii="仿宋" w:hAnsi="仿宋" w:eastAsia="仿宋"/>
          <w:sz w:val="24"/>
          <w:szCs w:val="24"/>
        </w:rPr>
      </w:pPr>
      <w:r>
        <w:rPr>
          <w:rFonts w:hint="eastAsia" w:ascii="仿宋" w:hAnsi="仿宋" w:eastAsia="仿宋"/>
          <w:sz w:val="24"/>
          <w:szCs w:val="24"/>
        </w:rPr>
        <w:t>详细接口参数详见《医疗保障信息平台定点医药机构接口规范（移动支付V2.1.7）》及最新参数要求。</w:t>
      </w:r>
    </w:p>
    <w:p>
      <w:pPr>
        <w:spacing w:line="360" w:lineRule="auto"/>
        <w:rPr>
          <w:rFonts w:hint="eastAsia" w:ascii="仿宋" w:hAnsi="仿宋" w:eastAsia="仿宋" w:cs="仿宋"/>
          <w:b w:val="0"/>
          <w:bCs/>
          <w:color w:val="000000" w:themeColor="text1"/>
        </w:rPr>
      </w:pPr>
      <w:r>
        <w:rPr>
          <w:rFonts w:hint="eastAsia" w:ascii="仿宋" w:hAnsi="仿宋" w:eastAsia="仿宋" w:cs="仿宋"/>
          <w:b w:val="0"/>
          <w:bCs/>
          <w:color w:val="000000" w:themeColor="text1"/>
        </w:rPr>
        <w:t>2、电子处方（国标）接口列表</w:t>
      </w:r>
    </w:p>
    <w:tbl>
      <w:tblPr>
        <w:tblStyle w:val="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6"/>
        <w:gridCol w:w="1710"/>
        <w:gridCol w:w="52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tcPr>
          <w:p>
            <w:pPr>
              <w:spacing w:line="360" w:lineRule="auto"/>
              <w:jc w:val="center"/>
              <w:rPr>
                <w:rFonts w:ascii="仿宋" w:hAnsi="仿宋" w:eastAsia="仿宋"/>
                <w:b/>
                <w:szCs w:val="32"/>
              </w:rPr>
            </w:pPr>
            <w:r>
              <w:rPr>
                <w:rFonts w:ascii="仿宋" w:hAnsi="仿宋" w:eastAsia="仿宋"/>
                <w:b/>
                <w:szCs w:val="32"/>
              </w:rPr>
              <w:t>接口编号</w:t>
            </w:r>
          </w:p>
        </w:tc>
        <w:tc>
          <w:tcPr>
            <w:tcW w:w="1710" w:type="dxa"/>
          </w:tcPr>
          <w:p>
            <w:pPr>
              <w:spacing w:line="360" w:lineRule="auto"/>
              <w:jc w:val="center"/>
              <w:rPr>
                <w:rFonts w:ascii="仿宋" w:hAnsi="仿宋" w:eastAsia="仿宋"/>
                <w:b/>
                <w:szCs w:val="32"/>
              </w:rPr>
            </w:pPr>
            <w:r>
              <w:rPr>
                <w:rFonts w:ascii="仿宋" w:hAnsi="仿宋" w:eastAsia="仿宋"/>
                <w:b/>
                <w:szCs w:val="32"/>
              </w:rPr>
              <w:t>接口名称</w:t>
            </w:r>
          </w:p>
        </w:tc>
        <w:tc>
          <w:tcPr>
            <w:tcW w:w="5286" w:type="dxa"/>
          </w:tcPr>
          <w:p>
            <w:pPr>
              <w:spacing w:line="360" w:lineRule="auto"/>
              <w:jc w:val="center"/>
              <w:rPr>
                <w:rFonts w:ascii="仿宋" w:hAnsi="仿宋" w:eastAsia="仿宋"/>
                <w:b/>
                <w:szCs w:val="32"/>
              </w:rPr>
            </w:pPr>
            <w:r>
              <w:rPr>
                <w:rFonts w:hint="eastAsia" w:ascii="仿宋" w:hAnsi="仿宋" w:eastAsia="仿宋"/>
                <w:b/>
                <w:szCs w:val="32"/>
              </w:rPr>
              <w:t>交易</w:t>
            </w:r>
            <w:r>
              <w:rPr>
                <w:rFonts w:ascii="仿宋" w:hAnsi="仿宋" w:eastAsia="仿宋"/>
                <w:b/>
                <w:szCs w:val="32"/>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CFYLJG001</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电子处方上传预核验</w:t>
            </w:r>
          </w:p>
        </w:tc>
        <w:tc>
          <w:tcPr>
            <w:tcW w:w="5286" w:type="dxa"/>
          </w:tcPr>
          <w:p>
            <w:pPr>
              <w:pStyle w:val="10"/>
              <w:spacing w:line="360" w:lineRule="auto"/>
              <w:ind w:firstLine="480"/>
              <w:jc w:val="left"/>
              <w:rPr>
                <w:rFonts w:ascii="仿宋" w:hAnsi="仿宋" w:eastAsia="仿宋"/>
                <w:sz w:val="24"/>
                <w:szCs w:val="24"/>
              </w:rPr>
            </w:pPr>
            <w:r>
              <w:rPr>
                <w:rFonts w:ascii="仿宋" w:hAnsi="仿宋" w:eastAsia="仿宋"/>
                <w:sz w:val="24"/>
                <w:szCs w:val="24"/>
              </w:rPr>
              <w:t>定点医疗机构实现医师开方时的医保电子处方信息预核验，预核验通过的处 方才能进行上传，上传时处方须经定点医疗机构医保医师签名且院内医保药师审核通过。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CFYLJG002</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电子处方医保电子签名</w:t>
            </w:r>
          </w:p>
        </w:tc>
        <w:tc>
          <w:tcPr>
            <w:tcW w:w="5286" w:type="dxa"/>
          </w:tcPr>
          <w:p>
            <w:pPr>
              <w:pStyle w:val="10"/>
              <w:spacing w:line="360" w:lineRule="auto"/>
              <w:ind w:firstLine="480"/>
              <w:jc w:val="left"/>
              <w:rPr>
                <w:rFonts w:ascii="仿宋" w:hAnsi="仿宋" w:eastAsia="仿宋"/>
                <w:sz w:val="24"/>
                <w:szCs w:val="24"/>
              </w:rPr>
            </w:pPr>
            <w:r>
              <w:rPr>
                <w:rFonts w:ascii="仿宋" w:hAnsi="仿宋" w:eastAsia="仿宋"/>
                <w:sz w:val="24"/>
                <w:szCs w:val="24"/>
              </w:rPr>
              <w:t>定点医疗机构使用全国统一的医保信息平台下发的国密数字证书，对上传的电子处方信息 及处方格式化电子文件进行医保电子签名。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CFYLJG003</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电子处方上传</w:t>
            </w:r>
          </w:p>
        </w:tc>
        <w:tc>
          <w:tcPr>
            <w:tcW w:w="5286" w:type="dxa"/>
          </w:tcPr>
          <w:p>
            <w:pPr>
              <w:pStyle w:val="10"/>
              <w:spacing w:line="360" w:lineRule="auto"/>
              <w:ind w:firstLine="480"/>
              <w:jc w:val="left"/>
              <w:rPr>
                <w:rFonts w:ascii="仿宋" w:hAnsi="仿宋" w:eastAsia="仿宋"/>
                <w:sz w:val="24"/>
                <w:szCs w:val="24"/>
              </w:rPr>
            </w:pPr>
            <w:r>
              <w:rPr>
                <w:rFonts w:ascii="仿宋" w:hAnsi="仿宋" w:eastAsia="仿宋"/>
                <w:sz w:val="24"/>
                <w:szCs w:val="24"/>
              </w:rPr>
              <w:t>定点医疗机构将医保电子签名后的签名结果及处方文件上传至医保电子处方 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CFYLJG004</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电子处方撤销</w:t>
            </w:r>
          </w:p>
        </w:tc>
        <w:tc>
          <w:tcPr>
            <w:tcW w:w="5286" w:type="dxa"/>
          </w:tcPr>
          <w:p>
            <w:pPr>
              <w:pStyle w:val="10"/>
              <w:spacing w:line="360" w:lineRule="auto"/>
              <w:ind w:firstLine="480"/>
              <w:jc w:val="left"/>
              <w:rPr>
                <w:rFonts w:ascii="仿宋" w:hAnsi="仿宋" w:eastAsia="仿宋"/>
                <w:sz w:val="24"/>
                <w:szCs w:val="24"/>
              </w:rPr>
            </w:pPr>
            <w:r>
              <w:rPr>
                <w:rFonts w:ascii="仿宋" w:hAnsi="仿宋" w:eastAsia="仿宋"/>
                <w:sz w:val="24"/>
                <w:szCs w:val="24"/>
              </w:rPr>
              <w:t>定点医疗机构对还未结算的异常电子处方进行撤销操作。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CFYLJG005</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电子处方信息查询</w:t>
            </w:r>
          </w:p>
        </w:tc>
        <w:tc>
          <w:tcPr>
            <w:tcW w:w="5286" w:type="dxa"/>
          </w:tcPr>
          <w:p>
            <w:pPr>
              <w:pStyle w:val="10"/>
              <w:spacing w:line="360" w:lineRule="auto"/>
              <w:ind w:firstLine="480"/>
              <w:jc w:val="left"/>
              <w:rPr>
                <w:rFonts w:ascii="仿宋" w:hAnsi="仿宋" w:eastAsia="仿宋"/>
                <w:sz w:val="24"/>
                <w:szCs w:val="24"/>
              </w:rPr>
            </w:pPr>
            <w:r>
              <w:rPr>
                <w:rFonts w:ascii="仿宋" w:hAnsi="仿宋" w:eastAsia="仿宋"/>
                <w:sz w:val="24"/>
                <w:szCs w:val="24"/>
              </w:rPr>
              <w:t>定点医疗机构可查询上传的患者处方详情信息及状态。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CFYLJG006</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电子处方审核结果查询</w:t>
            </w:r>
          </w:p>
        </w:tc>
        <w:tc>
          <w:tcPr>
            <w:tcW w:w="5286" w:type="dxa"/>
          </w:tcPr>
          <w:p>
            <w:pPr>
              <w:pStyle w:val="10"/>
              <w:spacing w:line="360" w:lineRule="auto"/>
              <w:ind w:firstLine="480"/>
              <w:rPr>
                <w:rFonts w:ascii="仿宋" w:hAnsi="仿宋" w:eastAsia="仿宋"/>
                <w:sz w:val="24"/>
                <w:szCs w:val="24"/>
              </w:rPr>
            </w:pPr>
            <w:r>
              <w:rPr>
                <w:rFonts w:ascii="仿宋" w:hAnsi="仿宋" w:eastAsia="仿宋"/>
                <w:sz w:val="24"/>
                <w:szCs w:val="24"/>
              </w:rPr>
              <w:t>定点医疗机构可主动查询为患者开具的处方在取药机构的处方审核结果信息。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CFYLJG007</w:t>
            </w:r>
          </w:p>
        </w:tc>
        <w:tc>
          <w:tcPr>
            <w:tcW w:w="1710"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电子处方取药结果查询</w:t>
            </w:r>
          </w:p>
        </w:tc>
        <w:tc>
          <w:tcPr>
            <w:tcW w:w="5286" w:type="dxa"/>
          </w:tcPr>
          <w:p>
            <w:pPr>
              <w:pStyle w:val="10"/>
              <w:spacing w:line="360" w:lineRule="auto"/>
              <w:ind w:firstLine="480"/>
              <w:jc w:val="left"/>
              <w:rPr>
                <w:rFonts w:ascii="仿宋" w:hAnsi="仿宋" w:eastAsia="仿宋"/>
                <w:sz w:val="24"/>
                <w:szCs w:val="24"/>
              </w:rPr>
            </w:pPr>
            <w:r>
              <w:rPr>
                <w:rFonts w:ascii="仿宋" w:hAnsi="仿宋" w:eastAsia="仿宋"/>
                <w:sz w:val="24"/>
                <w:szCs w:val="24"/>
              </w:rPr>
              <w:t>定点医疗机构可主动查询为患者开具的处方在取药机构的处方结算结果信息。</w:t>
            </w:r>
          </w:p>
        </w:tc>
      </w:tr>
    </w:tbl>
    <w:p>
      <w:pPr>
        <w:pStyle w:val="10"/>
        <w:spacing w:line="360" w:lineRule="auto"/>
        <w:ind w:firstLine="424" w:firstLineChars="177"/>
        <w:rPr>
          <w:rFonts w:ascii="仿宋" w:hAnsi="仿宋" w:eastAsia="仿宋"/>
          <w:sz w:val="24"/>
          <w:szCs w:val="24"/>
        </w:rPr>
      </w:pPr>
      <w:r>
        <w:rPr>
          <w:rFonts w:hint="eastAsia" w:ascii="仿宋" w:hAnsi="仿宋" w:eastAsia="仿宋"/>
          <w:sz w:val="24"/>
          <w:szCs w:val="24"/>
        </w:rPr>
        <w:t>详细接口参数详见《新电子处方中心“双通道”业务实施-两定机构接口规范》及最新参数要求。</w:t>
      </w:r>
    </w:p>
    <w:p>
      <w:pPr>
        <w:spacing w:line="360" w:lineRule="auto"/>
        <w:rPr>
          <w:rFonts w:hint="eastAsia" w:ascii="仿宋" w:hAnsi="仿宋" w:eastAsia="仿宋" w:cs="仿宋"/>
          <w:b w:val="0"/>
          <w:bCs/>
        </w:rPr>
      </w:pPr>
      <w:r>
        <w:rPr>
          <w:rFonts w:hint="eastAsia" w:ascii="仿宋" w:hAnsi="仿宋" w:eastAsia="仿宋" w:cs="仿宋"/>
          <w:b w:val="0"/>
          <w:bCs/>
        </w:rPr>
        <w:t>3、自费患者费用上传接口列表</w:t>
      </w:r>
    </w:p>
    <w:tbl>
      <w:tblPr>
        <w:tblStyle w:val="6"/>
        <w:tblW w:w="903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3144"/>
        <w:gridCol w:w="46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仿宋" w:hAnsi="仿宋" w:eastAsia="仿宋"/>
                <w:b/>
                <w:szCs w:val="32"/>
              </w:rPr>
            </w:pPr>
            <w:r>
              <w:rPr>
                <w:rFonts w:ascii="仿宋" w:hAnsi="仿宋" w:eastAsia="仿宋"/>
                <w:b/>
                <w:szCs w:val="32"/>
              </w:rPr>
              <w:t>接口编号</w:t>
            </w:r>
          </w:p>
        </w:tc>
        <w:tc>
          <w:tcPr>
            <w:tcW w:w="3144" w:type="dxa"/>
            <w:vAlign w:val="center"/>
          </w:tcPr>
          <w:p>
            <w:pPr>
              <w:spacing w:line="360" w:lineRule="auto"/>
              <w:jc w:val="center"/>
              <w:rPr>
                <w:rFonts w:ascii="仿宋" w:hAnsi="仿宋" w:eastAsia="仿宋"/>
                <w:b/>
                <w:szCs w:val="32"/>
              </w:rPr>
            </w:pPr>
            <w:r>
              <w:rPr>
                <w:rFonts w:ascii="仿宋" w:hAnsi="仿宋" w:eastAsia="仿宋"/>
                <w:b/>
                <w:szCs w:val="32"/>
              </w:rPr>
              <w:t>接口名称</w:t>
            </w:r>
          </w:p>
        </w:tc>
        <w:tc>
          <w:tcPr>
            <w:tcW w:w="4650" w:type="dxa"/>
          </w:tcPr>
          <w:p>
            <w:pPr>
              <w:spacing w:line="360" w:lineRule="auto"/>
              <w:jc w:val="center"/>
              <w:rPr>
                <w:rFonts w:ascii="仿宋" w:hAnsi="仿宋" w:eastAsia="仿宋"/>
                <w:b/>
                <w:szCs w:val="32"/>
              </w:rPr>
            </w:pPr>
            <w:r>
              <w:rPr>
                <w:rFonts w:hint="eastAsia" w:ascii="仿宋" w:hAnsi="仿宋" w:eastAsia="仿宋"/>
                <w:b/>
                <w:szCs w:val="32"/>
              </w:rPr>
              <w:t>交易</w:t>
            </w:r>
            <w:r>
              <w:rPr>
                <w:rFonts w:ascii="仿宋" w:hAnsi="仿宋" w:eastAsia="仿宋"/>
                <w:b/>
                <w:szCs w:val="32"/>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4201A</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自费病人住院费用明细信息上传</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通过此交易上传自费病人住院费用明细信息</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4202</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自费病人住院就诊和诊断信息上传</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通过此交易上传自费病人住院就诊和诊断信息</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4203</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自费病人就诊以及费用明细上传完成</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通过此交易进行自费病人就医信息上传完成标识修改</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4204</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自费病人住院费用明细删除</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w:t>
            </w:r>
            <w:r>
              <w:rPr>
                <w:rFonts w:hint="eastAsia" w:ascii="仿宋" w:hAnsi="仿宋" w:eastAsia="仿宋"/>
                <w:sz w:val="24"/>
                <w:szCs w:val="24"/>
              </w:rPr>
              <w:t>删除自费病人住院费用明细。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4205</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自费病人门诊就医信息上传</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通过此交易上传自费病人门诊就医信息</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4206</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自费病人门诊就医信息删除</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通过此交易删除自费病人门诊就医信息</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4207</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自费病人就医费用明细查询</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通过此交易查询自费病人</w:t>
            </w:r>
            <w:r>
              <w:rPr>
                <w:rFonts w:hint="eastAsia" w:ascii="仿宋" w:hAnsi="仿宋" w:eastAsia="仿宋"/>
                <w:sz w:val="24"/>
                <w:szCs w:val="24"/>
              </w:rPr>
              <w:t>费用明细</w:t>
            </w:r>
            <w:r>
              <w:rPr>
                <w:rFonts w:ascii="仿宋" w:hAnsi="仿宋" w:eastAsia="仿宋"/>
                <w:sz w:val="24"/>
                <w:szCs w:val="24"/>
              </w:rPr>
              <w:t>信息</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4208</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自费病人就医就诊信息查询</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通过此交易查询自费病人就诊信息</w:t>
            </w:r>
            <w:r>
              <w:rPr>
                <w:rFonts w:hint="eastAsia"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4209</w:t>
            </w:r>
          </w:p>
        </w:tc>
        <w:tc>
          <w:tcPr>
            <w:tcW w:w="3144"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自费病人就医诊断信息查询</w:t>
            </w:r>
          </w:p>
        </w:tc>
        <w:tc>
          <w:tcPr>
            <w:tcW w:w="4650" w:type="dxa"/>
          </w:tcPr>
          <w:p>
            <w:pPr>
              <w:pStyle w:val="10"/>
              <w:spacing w:line="360" w:lineRule="auto"/>
              <w:ind w:firstLine="0" w:firstLineChars="0"/>
              <w:jc w:val="left"/>
              <w:rPr>
                <w:rFonts w:ascii="仿宋" w:hAnsi="仿宋" w:eastAsia="仿宋"/>
                <w:sz w:val="24"/>
                <w:szCs w:val="24"/>
              </w:rPr>
            </w:pPr>
            <w:r>
              <w:rPr>
                <w:rFonts w:ascii="仿宋" w:hAnsi="仿宋" w:eastAsia="仿宋"/>
                <w:sz w:val="24"/>
                <w:szCs w:val="24"/>
              </w:rPr>
              <w:t>通过此交易查询自费病人诊断信息</w:t>
            </w:r>
            <w:r>
              <w:rPr>
                <w:rFonts w:hint="eastAsia" w:ascii="仿宋" w:hAnsi="仿宋" w:eastAsia="仿宋"/>
                <w:sz w:val="24"/>
                <w:szCs w:val="24"/>
              </w:rPr>
              <w:t>。</w:t>
            </w:r>
          </w:p>
        </w:tc>
      </w:tr>
    </w:tbl>
    <w:p>
      <w:pPr>
        <w:pStyle w:val="10"/>
        <w:spacing w:line="360" w:lineRule="auto"/>
        <w:ind w:firstLine="424" w:firstLineChars="177"/>
        <w:rPr>
          <w:rFonts w:ascii="仿宋" w:hAnsi="仿宋" w:eastAsia="仿宋"/>
          <w:sz w:val="24"/>
          <w:szCs w:val="24"/>
        </w:rPr>
      </w:pPr>
      <w:r>
        <w:rPr>
          <w:rFonts w:hint="eastAsia" w:ascii="仿宋" w:hAnsi="仿宋" w:eastAsia="仿宋"/>
          <w:sz w:val="24"/>
          <w:szCs w:val="24"/>
        </w:rPr>
        <w:t>详细接口参数详见《广东省</w:t>
      </w:r>
      <w:bookmarkStart w:id="2" w:name="_Hlk135899475"/>
      <w:r>
        <w:rPr>
          <w:rFonts w:hint="eastAsia" w:ascii="仿宋" w:hAnsi="仿宋" w:eastAsia="仿宋"/>
          <w:sz w:val="24"/>
          <w:szCs w:val="24"/>
        </w:rPr>
        <w:t>医疗保障信息平台定点医药机构接口</w:t>
      </w:r>
      <w:bookmarkEnd w:id="2"/>
      <w:r>
        <w:rPr>
          <w:rFonts w:hint="eastAsia" w:ascii="仿宋" w:hAnsi="仿宋" w:eastAsia="仿宋"/>
          <w:sz w:val="24"/>
          <w:szCs w:val="24"/>
        </w:rPr>
        <w:t>规范（自费患者费用上传接口）》及最新参数要求。</w:t>
      </w:r>
    </w:p>
    <w:p>
      <w:pPr>
        <w:spacing w:line="360" w:lineRule="auto"/>
        <w:rPr>
          <w:rFonts w:hint="eastAsia" w:ascii="仿宋" w:hAnsi="仿宋" w:eastAsia="仿宋" w:cs="仿宋"/>
          <w:b w:val="0"/>
          <w:bCs/>
        </w:rPr>
      </w:pPr>
      <w:r>
        <w:rPr>
          <w:rFonts w:hint="eastAsia" w:ascii="仿宋" w:hAnsi="仿宋" w:eastAsia="仿宋" w:cs="仿宋"/>
          <w:b w:val="0"/>
          <w:bCs/>
        </w:rPr>
        <w:t>4、智能监管子系统接口列表</w:t>
      </w:r>
    </w:p>
    <w:tbl>
      <w:tblPr>
        <w:tblStyle w:val="6"/>
        <w:tblW w:w="89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6"/>
        <w:gridCol w:w="2259"/>
        <w:gridCol w:w="54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tcPr>
          <w:p>
            <w:pPr>
              <w:spacing w:line="360" w:lineRule="auto"/>
              <w:jc w:val="center"/>
              <w:rPr>
                <w:rFonts w:ascii="仿宋" w:hAnsi="仿宋" w:eastAsia="仿宋"/>
                <w:b/>
                <w:szCs w:val="32"/>
              </w:rPr>
            </w:pPr>
            <w:r>
              <w:rPr>
                <w:rFonts w:ascii="仿宋" w:hAnsi="仿宋" w:eastAsia="仿宋"/>
                <w:b/>
                <w:szCs w:val="32"/>
              </w:rPr>
              <w:t>接口编号</w:t>
            </w:r>
          </w:p>
        </w:tc>
        <w:tc>
          <w:tcPr>
            <w:tcW w:w="2259" w:type="dxa"/>
          </w:tcPr>
          <w:p>
            <w:pPr>
              <w:spacing w:line="360" w:lineRule="auto"/>
              <w:jc w:val="center"/>
              <w:rPr>
                <w:rFonts w:ascii="仿宋" w:hAnsi="仿宋" w:eastAsia="仿宋"/>
                <w:b/>
                <w:szCs w:val="32"/>
              </w:rPr>
            </w:pPr>
            <w:r>
              <w:rPr>
                <w:rFonts w:ascii="仿宋" w:hAnsi="仿宋" w:eastAsia="仿宋"/>
                <w:b/>
                <w:szCs w:val="32"/>
              </w:rPr>
              <w:t>接口名称</w:t>
            </w:r>
          </w:p>
        </w:tc>
        <w:tc>
          <w:tcPr>
            <w:tcW w:w="5403" w:type="dxa"/>
          </w:tcPr>
          <w:p>
            <w:pPr>
              <w:spacing w:line="360" w:lineRule="auto"/>
              <w:jc w:val="center"/>
              <w:rPr>
                <w:rFonts w:ascii="仿宋" w:hAnsi="仿宋" w:eastAsia="仿宋"/>
                <w:b/>
                <w:szCs w:val="32"/>
              </w:rPr>
            </w:pPr>
            <w:r>
              <w:rPr>
                <w:rFonts w:ascii="仿宋" w:hAnsi="仿宋" w:eastAsia="仿宋"/>
                <w:b/>
                <w:szCs w:val="32"/>
              </w:rPr>
              <w:t>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3101</w:t>
            </w:r>
          </w:p>
        </w:tc>
        <w:tc>
          <w:tcPr>
            <w:tcW w:w="2259" w:type="dxa"/>
            <w:vAlign w:val="center"/>
          </w:tcPr>
          <w:p>
            <w:pPr>
              <w:pStyle w:val="10"/>
              <w:spacing w:line="360" w:lineRule="auto"/>
              <w:ind w:firstLine="0" w:firstLineChars="0"/>
              <w:jc w:val="center"/>
              <w:rPr>
                <w:rFonts w:ascii="仿宋" w:hAnsi="仿宋" w:eastAsia="仿宋"/>
                <w:sz w:val="24"/>
                <w:szCs w:val="24"/>
              </w:rPr>
            </w:pPr>
            <w:r>
              <w:rPr>
                <w:rFonts w:ascii="仿宋" w:hAnsi="仿宋" w:eastAsia="仿宋"/>
                <w:sz w:val="24"/>
                <w:szCs w:val="24"/>
              </w:rPr>
              <w:t>事前</w:t>
            </w:r>
            <w:r>
              <w:rPr>
                <w:rFonts w:hint="eastAsia" w:ascii="仿宋" w:hAnsi="仿宋" w:eastAsia="仿宋"/>
                <w:sz w:val="24"/>
                <w:szCs w:val="24"/>
              </w:rPr>
              <w:t>分析</w:t>
            </w:r>
          </w:p>
        </w:tc>
        <w:tc>
          <w:tcPr>
            <w:tcW w:w="5403" w:type="dxa"/>
          </w:tcPr>
          <w:p>
            <w:pPr>
              <w:pStyle w:val="10"/>
              <w:spacing w:line="360" w:lineRule="auto"/>
              <w:ind w:firstLine="0" w:firstLineChars="0"/>
              <w:jc w:val="left"/>
              <w:rPr>
                <w:rFonts w:ascii="仿宋" w:hAnsi="仿宋" w:eastAsia="仿宋"/>
                <w:sz w:val="24"/>
                <w:szCs w:val="24"/>
              </w:rPr>
            </w:pPr>
            <w:r>
              <w:rPr>
                <w:rFonts w:hint="eastAsia" w:ascii="仿宋" w:hAnsi="仿宋" w:eastAsia="仿宋"/>
                <w:sz w:val="24"/>
                <w:szCs w:val="24"/>
              </w:rPr>
              <w:t>通过此交易进行事前的明细审核分析。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pStyle w:val="10"/>
              <w:spacing w:line="360" w:lineRule="auto"/>
              <w:ind w:firstLine="0" w:firstLineChars="0"/>
              <w:jc w:val="center"/>
              <w:rPr>
                <w:rFonts w:ascii="仿宋" w:hAnsi="仿宋" w:eastAsia="仿宋"/>
                <w:sz w:val="24"/>
                <w:szCs w:val="24"/>
              </w:rPr>
            </w:pPr>
            <w:r>
              <w:rPr>
                <w:rFonts w:ascii="仿宋" w:hAnsi="仿宋" w:eastAsia="仿宋"/>
                <w:sz w:val="24"/>
                <w:szCs w:val="24"/>
              </w:rPr>
              <w:t>3102</w:t>
            </w:r>
          </w:p>
        </w:tc>
        <w:tc>
          <w:tcPr>
            <w:tcW w:w="2259" w:type="dxa"/>
            <w:vAlign w:val="center"/>
          </w:tcPr>
          <w:p>
            <w:pPr>
              <w:pStyle w:val="10"/>
              <w:spacing w:line="360" w:lineRule="auto"/>
              <w:ind w:firstLine="0" w:firstLineChars="0"/>
              <w:jc w:val="center"/>
              <w:rPr>
                <w:rFonts w:ascii="仿宋" w:hAnsi="仿宋" w:eastAsia="仿宋"/>
                <w:sz w:val="24"/>
                <w:szCs w:val="24"/>
              </w:rPr>
            </w:pPr>
            <w:r>
              <w:rPr>
                <w:rFonts w:ascii="仿宋" w:hAnsi="仿宋" w:eastAsia="仿宋"/>
                <w:sz w:val="24"/>
                <w:szCs w:val="24"/>
              </w:rPr>
              <w:t>事中</w:t>
            </w:r>
            <w:r>
              <w:rPr>
                <w:rFonts w:hint="eastAsia" w:ascii="仿宋" w:hAnsi="仿宋" w:eastAsia="仿宋"/>
                <w:sz w:val="24"/>
                <w:szCs w:val="24"/>
              </w:rPr>
              <w:t>分析</w:t>
            </w:r>
          </w:p>
        </w:tc>
        <w:tc>
          <w:tcPr>
            <w:tcW w:w="5403" w:type="dxa"/>
          </w:tcPr>
          <w:p>
            <w:pPr>
              <w:pStyle w:val="10"/>
              <w:spacing w:line="360" w:lineRule="auto"/>
              <w:ind w:firstLine="0" w:firstLineChars="0"/>
              <w:jc w:val="left"/>
              <w:rPr>
                <w:rFonts w:ascii="仿宋" w:hAnsi="仿宋" w:eastAsia="仿宋"/>
                <w:sz w:val="24"/>
                <w:szCs w:val="24"/>
              </w:rPr>
            </w:pPr>
            <w:r>
              <w:rPr>
                <w:rFonts w:hint="eastAsia" w:ascii="仿宋" w:hAnsi="仿宋" w:eastAsia="仿宋"/>
                <w:sz w:val="24"/>
                <w:szCs w:val="24"/>
              </w:rPr>
              <w:t>通过此交易进行事中的明细审核分析。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spacing w:line="360" w:lineRule="auto"/>
              <w:jc w:val="center"/>
              <w:rPr>
                <w:rFonts w:ascii="仿宋" w:hAnsi="仿宋" w:eastAsia="仿宋"/>
                <w:color w:val="000000"/>
              </w:rPr>
            </w:pPr>
            <w:r>
              <w:rPr>
                <w:rFonts w:hint="eastAsia" w:ascii="仿宋" w:hAnsi="仿宋" w:eastAsia="仿宋"/>
                <w:color w:val="000000"/>
              </w:rPr>
              <w:t>90205</w:t>
            </w:r>
          </w:p>
        </w:tc>
        <w:tc>
          <w:tcPr>
            <w:tcW w:w="2259"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意外伤害</w:t>
            </w:r>
            <w:r>
              <w:rPr>
                <w:rFonts w:ascii="仿宋" w:hAnsi="仿宋" w:eastAsia="仿宋"/>
                <w:sz w:val="24"/>
                <w:szCs w:val="24"/>
              </w:rPr>
              <w:t>登记</w:t>
            </w:r>
          </w:p>
        </w:tc>
        <w:tc>
          <w:tcPr>
            <w:tcW w:w="5403" w:type="dxa"/>
          </w:tcPr>
          <w:p>
            <w:pPr>
              <w:pStyle w:val="10"/>
              <w:spacing w:line="360" w:lineRule="auto"/>
              <w:ind w:firstLine="0" w:firstLineChars="0"/>
              <w:jc w:val="left"/>
              <w:rPr>
                <w:rFonts w:ascii="仿宋" w:hAnsi="仿宋" w:eastAsia="仿宋"/>
                <w:sz w:val="24"/>
                <w:szCs w:val="24"/>
              </w:rPr>
            </w:pPr>
            <w:r>
              <w:rPr>
                <w:rFonts w:hint="eastAsia" w:ascii="仿宋" w:hAnsi="仿宋" w:eastAsia="仿宋"/>
                <w:sz w:val="24"/>
                <w:szCs w:val="24"/>
              </w:rPr>
              <w:t>通过此交易上传意外伤害登记信息。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90208</w:t>
            </w:r>
          </w:p>
        </w:tc>
        <w:tc>
          <w:tcPr>
            <w:tcW w:w="2259" w:type="dxa"/>
            <w:vAlign w:val="center"/>
          </w:tcPr>
          <w:p>
            <w:pPr>
              <w:pStyle w:val="10"/>
              <w:spacing w:line="360" w:lineRule="auto"/>
              <w:ind w:firstLine="0" w:firstLineChars="0"/>
              <w:jc w:val="center"/>
              <w:rPr>
                <w:rFonts w:hint="eastAsia" w:ascii="仿宋" w:hAnsi="仿宋" w:eastAsia="仿宋"/>
                <w:sz w:val="24"/>
                <w:szCs w:val="24"/>
              </w:rPr>
            </w:pPr>
            <w:r>
              <w:rPr>
                <w:rFonts w:hint="eastAsia" w:ascii="仿宋" w:hAnsi="仿宋" w:eastAsia="仿宋"/>
                <w:sz w:val="24"/>
                <w:szCs w:val="24"/>
              </w:rPr>
              <w:t>转院登记变更</w:t>
            </w:r>
          </w:p>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（惠州）</w:t>
            </w:r>
          </w:p>
        </w:tc>
        <w:tc>
          <w:tcPr>
            <w:tcW w:w="5403" w:type="dxa"/>
          </w:tcPr>
          <w:p>
            <w:pPr>
              <w:spacing w:line="360" w:lineRule="auto"/>
              <w:rPr>
                <w:rFonts w:hint="eastAsia" w:ascii="仿宋" w:hAnsi="仿宋" w:eastAsia="仿宋" w:cstheme="minorBidi"/>
                <w:kern w:val="2"/>
                <w:lang w:eastAsia="zh-CN"/>
              </w:rPr>
            </w:pPr>
            <w:r>
              <w:rPr>
                <w:rFonts w:hint="eastAsia" w:ascii="仿宋" w:hAnsi="仿宋" w:eastAsia="仿宋" w:cstheme="minorBidi"/>
                <w:kern w:val="2"/>
              </w:rPr>
              <w:t>由于转入的医院没有床位等原因，医院his端增加转院登记变更模块，需要登记转院登记并且已审核通过的登记才能进行变更，中心端需要审核，两定端无须审核</w:t>
            </w:r>
            <w:r>
              <w:rPr>
                <w:rFonts w:hint="eastAsia" w:ascii="仿宋" w:hAnsi="仿宋" w:eastAsia="仿宋" w:cstheme="minorBidi"/>
                <w:kern w:val="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90209</w:t>
            </w:r>
          </w:p>
        </w:tc>
        <w:tc>
          <w:tcPr>
            <w:tcW w:w="2259"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长期住院病种申报（惠州）</w:t>
            </w:r>
          </w:p>
        </w:tc>
        <w:tc>
          <w:tcPr>
            <w:tcW w:w="5403" w:type="dxa"/>
          </w:tcPr>
          <w:p>
            <w:pPr>
              <w:spacing w:line="360" w:lineRule="auto"/>
              <w:rPr>
                <w:rFonts w:hint="eastAsia" w:ascii="仿宋" w:hAnsi="仿宋" w:eastAsia="仿宋" w:cs="Times New Roman"/>
                <w:kern w:val="2"/>
                <w:lang w:eastAsia="zh-CN"/>
              </w:rPr>
            </w:pPr>
            <w:r>
              <w:rPr>
                <w:rFonts w:hint="eastAsia" w:ascii="仿宋" w:hAnsi="仿宋" w:eastAsia="仿宋" w:cs="Times New Roman"/>
                <w:kern w:val="2"/>
              </w:rPr>
              <w:t>惠州医院通过此接口，进行长住院病种申报</w:t>
            </w:r>
            <w:r>
              <w:rPr>
                <w:rFonts w:hint="eastAsia" w:ascii="仿宋" w:hAnsi="仿宋" w:eastAsia="仿宋" w:cs="Times New Roman"/>
                <w:kern w:val="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90305</w:t>
            </w:r>
          </w:p>
        </w:tc>
        <w:tc>
          <w:tcPr>
            <w:tcW w:w="2259"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撤销意外伤害登记</w:t>
            </w:r>
          </w:p>
        </w:tc>
        <w:tc>
          <w:tcPr>
            <w:tcW w:w="5403" w:type="dxa"/>
          </w:tcPr>
          <w:p>
            <w:pPr>
              <w:spacing w:line="360" w:lineRule="auto"/>
              <w:rPr>
                <w:rFonts w:ascii="仿宋" w:hAnsi="仿宋" w:eastAsia="仿宋" w:cs="Times New Roman"/>
                <w:kern w:val="2"/>
              </w:rPr>
            </w:pPr>
            <w:r>
              <w:rPr>
                <w:rFonts w:hint="eastAsia" w:ascii="仿宋" w:hAnsi="仿宋" w:eastAsia="仿宋" w:cs="Times New Roman"/>
                <w:kern w:val="2"/>
              </w:rPr>
              <w:t>通</w:t>
            </w:r>
            <w:r>
              <w:rPr>
                <w:rFonts w:hint="eastAsia" w:ascii="仿宋" w:hAnsi="仿宋" w:eastAsia="仿宋"/>
                <w:color w:val="000000" w:themeColor="text1"/>
                <w:lang w:val="zh-CN"/>
              </w:rPr>
              <w:t>过此交易</w:t>
            </w:r>
            <w:r>
              <w:rPr>
                <w:rFonts w:hint="eastAsia" w:ascii="仿宋" w:hAnsi="仿宋" w:eastAsia="仿宋" w:cs="Times New Roman"/>
              </w:rPr>
              <w:t>撤销</w:t>
            </w:r>
            <w:r>
              <w:rPr>
                <w:rFonts w:hint="eastAsia" w:ascii="仿宋" w:hAnsi="仿宋" w:eastAsia="仿宋"/>
                <w:color w:val="000000" w:themeColor="text1"/>
                <w:lang w:val="zh-CN"/>
              </w:rPr>
              <w:t>意外伤害登记</w:t>
            </w:r>
            <w:r>
              <w:rPr>
                <w:rFonts w:hint="eastAsia" w:ascii="仿宋" w:hAnsi="仿宋" w:eastAsia="仿宋"/>
                <w:color w:val="000000" w:themeColor="text1"/>
              </w:rPr>
              <w:t>信息</w:t>
            </w:r>
            <w:r>
              <w:rPr>
                <w:rFonts w:hint="eastAsia" w:ascii="仿宋" w:hAnsi="仿宋" w:eastAsia="仿宋" w:cs="Times New Roman"/>
                <w:kern w:val="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16"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90504</w:t>
            </w:r>
          </w:p>
        </w:tc>
        <w:tc>
          <w:tcPr>
            <w:tcW w:w="2259" w:type="dxa"/>
            <w:vAlign w:val="center"/>
          </w:tcPr>
          <w:p>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月结信息查询</w:t>
            </w:r>
          </w:p>
        </w:tc>
        <w:tc>
          <w:tcPr>
            <w:tcW w:w="5403" w:type="dxa"/>
          </w:tcPr>
          <w:p>
            <w:pPr>
              <w:spacing w:line="360" w:lineRule="auto"/>
              <w:rPr>
                <w:rFonts w:ascii="仿宋" w:hAnsi="仿宋" w:eastAsia="仿宋" w:cs="Times New Roman"/>
              </w:rPr>
            </w:pPr>
            <w:r>
              <w:rPr>
                <w:rFonts w:hint="eastAsia" w:ascii="仿宋" w:hAnsi="仿宋" w:eastAsia="仿宋" w:cs="Times New Roman"/>
              </w:rPr>
              <w:t>根据条件信息获取本机构的月结数据。</w:t>
            </w:r>
          </w:p>
        </w:tc>
      </w:tr>
    </w:tbl>
    <w:p>
      <w:pPr>
        <w:spacing w:line="360" w:lineRule="auto"/>
        <w:ind w:firstLine="480" w:firstLineChars="200"/>
        <w:rPr>
          <w:rFonts w:ascii="仿宋" w:hAnsi="仿宋" w:eastAsia="仿宋"/>
        </w:rPr>
      </w:pPr>
      <w:r>
        <w:rPr>
          <w:rFonts w:ascii="仿宋" w:hAnsi="仿宋" w:eastAsia="仿宋"/>
        </w:rPr>
        <w:t>详细接口参数详见广东省医疗保障局发布的</w:t>
      </w:r>
      <w:r>
        <w:rPr>
          <w:rFonts w:hint="eastAsia" w:ascii="仿宋" w:hAnsi="仿宋" w:eastAsia="仿宋"/>
        </w:rPr>
        <w:t>《基线</w:t>
      </w:r>
      <w:r>
        <w:rPr>
          <w:rFonts w:ascii="仿宋" w:hAnsi="仿宋" w:eastAsia="仿宋"/>
        </w:rPr>
        <w:t>9：医疗保障信息平台定点基线版医药机构接口规范（修订版）</w:t>
      </w:r>
      <w:r>
        <w:rPr>
          <w:rFonts w:hint="eastAsia" w:ascii="仿宋" w:hAnsi="仿宋" w:eastAsia="仿宋"/>
        </w:rPr>
        <w:t>》、</w:t>
      </w:r>
      <w:r>
        <w:rPr>
          <w:rFonts w:ascii="仿宋" w:hAnsi="仿宋" w:eastAsia="仿宋"/>
        </w:rPr>
        <w:t>广东省医疗保障局发布的</w:t>
      </w:r>
      <w:r>
        <w:rPr>
          <w:rFonts w:hint="eastAsia" w:ascii="仿宋" w:hAnsi="仿宋" w:eastAsia="仿宋"/>
        </w:rPr>
        <w:t>《医疗保障信息平台定点医药机构接口规范补充接口》。</w:t>
      </w:r>
    </w:p>
    <w:p>
      <w:pPr>
        <w:spacing w:line="360" w:lineRule="auto"/>
        <w:rPr>
          <w:rFonts w:ascii="仿宋" w:hAnsi="仿宋" w:eastAsia="仿宋"/>
          <w:b w:val="0"/>
          <w:bCs w:val="0"/>
        </w:rPr>
      </w:pPr>
      <w:r>
        <w:rPr>
          <w:rFonts w:asciiTheme="minorEastAsia" w:hAnsiTheme="minorEastAsia"/>
          <w:b w:val="0"/>
          <w:bCs w:val="0"/>
          <w:color w:val="000000" w:themeColor="text1"/>
        </w:rPr>
        <w:t>★</w:t>
      </w:r>
      <w:r>
        <w:rPr>
          <w:rFonts w:hint="eastAsia" w:asciiTheme="minorEastAsia" w:hAnsiTheme="minorEastAsia" w:eastAsiaTheme="minorEastAsia"/>
          <w:b w:val="0"/>
          <w:bCs w:val="0"/>
        </w:rPr>
        <w:t>5、</w:t>
      </w:r>
      <w:r>
        <w:rPr>
          <w:rFonts w:hint="eastAsia" w:ascii="仿宋" w:hAnsi="仿宋" w:eastAsia="仿宋"/>
          <w:b w:val="0"/>
          <w:bCs w:val="0"/>
        </w:rPr>
        <w:t>接口配套</w:t>
      </w:r>
    </w:p>
    <w:p>
      <w:pPr>
        <w:spacing w:line="360" w:lineRule="auto"/>
        <w:ind w:firstLine="360" w:firstLineChars="150"/>
        <w:rPr>
          <w:rFonts w:ascii="仿宋" w:hAnsi="仿宋" w:eastAsia="仿宋"/>
        </w:rPr>
      </w:pPr>
      <w:r>
        <w:rPr>
          <w:rFonts w:hint="eastAsia" w:ascii="仿宋" w:hAnsi="仿宋" w:eastAsia="仿宋"/>
        </w:rPr>
        <w:t xml:space="preserve">本项目涉及到的与医院现有信息系统的接口费用应包含在该项目的整体报价中，费用与医院信息系统厂商协商，医院不再另行支付与本项目相关的接口费用。项目实施及维保期内，因国家政策或政府、医院上级部门要求导致的被动性程序修改，及时提供程序修改服务，保证系统在要求的时限内正常、稳定、准确运行。 </w:t>
      </w:r>
    </w:p>
    <w:p>
      <w:pPr>
        <w:spacing w:line="360" w:lineRule="auto"/>
        <w:ind w:firstLine="360" w:firstLineChars="150"/>
        <w:rPr>
          <w:rFonts w:ascii="仿宋" w:hAnsi="仿宋" w:eastAsia="仿宋"/>
        </w:rPr>
      </w:pPr>
      <w:r>
        <w:rPr>
          <w:rFonts w:hint="eastAsia" w:ascii="仿宋" w:hAnsi="仿宋" w:eastAsia="仿宋"/>
        </w:rPr>
        <w:t>本项目支持与医院现有信息系统包含但不限于广东省病案管理系统、HIS、LIS、PACS、ERP、EMR、手术麻醉系统、重症监护系统、预约管理系统、自助机平台、微信支付平台等医院现有信息系统进行对接，预留开放集成平台接口。</w:t>
      </w:r>
    </w:p>
    <w:p>
      <w:pPr>
        <w:spacing w:line="360" w:lineRule="auto"/>
        <w:rPr>
          <w:rFonts w:hint="eastAsia" w:asciiTheme="minorEastAsia" w:hAnsiTheme="minorEastAsia"/>
          <w:b/>
          <w:color w:val="000000" w:themeColor="text1"/>
          <w:lang w:eastAsia="zh-CN"/>
        </w:rPr>
      </w:pPr>
      <w:r>
        <w:rPr>
          <w:rFonts w:hint="eastAsia" w:asciiTheme="minorEastAsia" w:hAnsiTheme="minorEastAsia"/>
          <w:b/>
          <w:color w:val="000000" w:themeColor="text1"/>
          <w:lang w:eastAsia="zh-CN"/>
        </w:rPr>
        <w:t>（五）商务要求</w:t>
      </w:r>
    </w:p>
    <w:p>
      <w:pPr>
        <w:spacing w:line="360" w:lineRule="auto"/>
        <w:ind w:firstLine="361" w:firstLineChars="150"/>
        <w:rPr>
          <w:rFonts w:ascii="仿宋" w:hAnsi="仿宋" w:eastAsia="仿宋"/>
          <w:b/>
          <w:lang w:bidi="en-US"/>
        </w:rPr>
      </w:pPr>
      <w:r>
        <w:rPr>
          <w:rFonts w:hint="eastAsia" w:ascii="仿宋" w:hAnsi="仿宋" w:eastAsia="仿宋"/>
          <w:b/>
          <w:lang w:bidi="en-US"/>
        </w:rPr>
        <w:t>1．供货要求：</w:t>
      </w:r>
    </w:p>
    <w:p>
      <w:pPr>
        <w:spacing w:line="360" w:lineRule="auto"/>
        <w:ind w:firstLine="360" w:firstLineChars="150"/>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投标人必须承诺所提供产品符合国家或行业标准，以及用户提出的有关应用需求，且不存在第三方侵权行为。</w:t>
      </w:r>
    </w:p>
    <w:p>
      <w:pPr>
        <w:spacing w:line="360" w:lineRule="auto"/>
        <w:ind w:firstLine="360" w:firstLineChars="150"/>
        <w:rPr>
          <w:rFonts w:ascii="仿宋" w:hAnsi="仿宋" w:eastAsia="仿宋"/>
        </w:rPr>
      </w:pPr>
      <w:r>
        <w:rPr>
          <w:rFonts w:hint="eastAsia" w:ascii="仿宋" w:hAnsi="仿宋" w:eastAsia="仿宋"/>
        </w:rPr>
        <w:t>1</w:t>
      </w:r>
      <w:r>
        <w:rPr>
          <w:rFonts w:ascii="仿宋" w:hAnsi="仿宋" w:eastAsia="仿宋"/>
        </w:rPr>
        <w:t>.2投标人应</w:t>
      </w:r>
      <w:r>
        <w:rPr>
          <w:rFonts w:hint="eastAsia" w:ascii="仿宋" w:hAnsi="仿宋" w:eastAsia="仿宋"/>
        </w:rPr>
        <w:t>具备本项目的建设服务能力，</w:t>
      </w:r>
      <w:r>
        <w:rPr>
          <w:rFonts w:ascii="仿宋" w:hAnsi="仿宋" w:eastAsia="仿宋"/>
        </w:rPr>
        <w:t>投入具备相应资质、经验的技术</w:t>
      </w:r>
      <w:bookmarkStart w:id="4" w:name="_GoBack"/>
      <w:bookmarkEnd w:id="4"/>
      <w:r>
        <w:rPr>
          <w:rFonts w:ascii="仿宋" w:hAnsi="仿宋" w:eastAsia="仿宋"/>
        </w:rPr>
        <w:t>服务团队和工程师</w:t>
      </w:r>
      <w:r>
        <w:rPr>
          <w:rFonts w:hint="eastAsia" w:ascii="仿宋" w:hAnsi="仿宋" w:eastAsia="仿宋"/>
        </w:rPr>
        <w:t>，并按照医疗保障信息平台定点医药机构接口</w:t>
      </w:r>
      <w:r>
        <w:rPr>
          <w:rFonts w:hint="eastAsia" w:ascii="仿宋" w:hAnsi="仿宋" w:eastAsia="仿宋"/>
          <w:lang w:bidi="en-US"/>
        </w:rPr>
        <w:t>对接计划及要求</w:t>
      </w:r>
      <w:r>
        <w:rPr>
          <w:rFonts w:hint="eastAsia" w:ascii="仿宋" w:hAnsi="仿宋" w:eastAsia="仿宋"/>
        </w:rPr>
        <w:t>按时完成相应的接口改造</w:t>
      </w:r>
    </w:p>
    <w:p>
      <w:pPr>
        <w:spacing w:line="360" w:lineRule="auto"/>
        <w:ind w:firstLine="361" w:firstLineChars="150"/>
        <w:rPr>
          <w:rFonts w:ascii="仿宋" w:hAnsi="仿宋" w:eastAsia="仿宋"/>
          <w:b/>
          <w:lang w:bidi="en-US"/>
        </w:rPr>
      </w:pPr>
      <w:r>
        <w:rPr>
          <w:rFonts w:ascii="仿宋" w:hAnsi="仿宋" w:eastAsia="仿宋"/>
          <w:b/>
          <w:lang w:bidi="en-US"/>
        </w:rPr>
        <w:t>2</w:t>
      </w:r>
      <w:r>
        <w:rPr>
          <w:rFonts w:hint="eastAsia" w:ascii="仿宋" w:hAnsi="仿宋" w:eastAsia="仿宋"/>
          <w:b/>
          <w:lang w:bidi="en-US"/>
        </w:rPr>
        <w:t>．工期要求：</w:t>
      </w:r>
    </w:p>
    <w:p>
      <w:pPr>
        <w:spacing w:line="360" w:lineRule="auto"/>
        <w:ind w:firstLine="360" w:firstLineChars="150"/>
        <w:rPr>
          <w:rFonts w:ascii="仿宋" w:hAnsi="仿宋" w:eastAsia="仿宋"/>
        </w:rPr>
      </w:pPr>
      <w:r>
        <w:rPr>
          <w:rFonts w:hint="eastAsia" w:ascii="仿宋" w:hAnsi="仿宋" w:eastAsia="仿宋"/>
        </w:rPr>
        <w:t>合同签署后按医疗保障信息平台定点医药机构接口</w:t>
      </w:r>
      <w:r>
        <w:rPr>
          <w:rFonts w:hint="eastAsia" w:ascii="仿宋" w:hAnsi="仿宋" w:eastAsia="仿宋"/>
          <w:lang w:bidi="en-US"/>
        </w:rPr>
        <w:t>对接计划及</w:t>
      </w:r>
      <w:r>
        <w:rPr>
          <w:rFonts w:hint="eastAsia" w:ascii="仿宋" w:hAnsi="仿宋" w:eastAsia="仿宋"/>
        </w:rPr>
        <w:t>要求上线时间前完成软件系统功能部署、平台接口定制开发、调试，并完成对使用单位相关人员的操作与使用培训。</w:t>
      </w:r>
    </w:p>
    <w:p>
      <w:pPr>
        <w:spacing w:line="360" w:lineRule="auto"/>
        <w:ind w:firstLine="361" w:firstLineChars="150"/>
        <w:rPr>
          <w:rFonts w:ascii="仿宋" w:hAnsi="仿宋" w:eastAsia="仿宋"/>
        </w:rPr>
      </w:pPr>
      <w:r>
        <w:rPr>
          <w:rFonts w:ascii="仿宋" w:hAnsi="仿宋" w:eastAsia="仿宋"/>
          <w:b/>
          <w:lang w:bidi="en-US"/>
        </w:rPr>
        <w:t>3</w:t>
      </w:r>
      <w:r>
        <w:rPr>
          <w:rFonts w:hint="eastAsia" w:ascii="仿宋" w:hAnsi="仿宋" w:eastAsia="仿宋"/>
          <w:b/>
          <w:lang w:bidi="en-US"/>
        </w:rPr>
        <w:t>．交货地点：</w:t>
      </w:r>
      <w:r>
        <w:rPr>
          <w:rFonts w:hint="eastAsia" w:ascii="仿宋" w:hAnsi="仿宋" w:eastAsia="仿宋"/>
        </w:rPr>
        <w:t>惠州市中大惠亚医院</w:t>
      </w:r>
    </w:p>
    <w:p>
      <w:pPr>
        <w:spacing w:line="360" w:lineRule="auto"/>
        <w:ind w:firstLine="361" w:firstLineChars="150"/>
        <w:rPr>
          <w:rFonts w:ascii="仿宋" w:hAnsi="仿宋" w:eastAsia="仿宋"/>
          <w:b/>
          <w:lang w:bidi="en-US"/>
        </w:rPr>
      </w:pPr>
      <w:r>
        <w:rPr>
          <w:rFonts w:ascii="仿宋" w:hAnsi="仿宋" w:eastAsia="仿宋"/>
          <w:b/>
          <w:lang w:bidi="en-US"/>
        </w:rPr>
        <w:t>4</w:t>
      </w:r>
      <w:r>
        <w:rPr>
          <w:rFonts w:hint="eastAsia" w:ascii="仿宋" w:hAnsi="仿宋" w:eastAsia="仿宋"/>
          <w:b/>
          <w:lang w:bidi="en-US"/>
        </w:rPr>
        <w:t>．验收要求：</w:t>
      </w:r>
    </w:p>
    <w:p>
      <w:pPr>
        <w:spacing w:line="360" w:lineRule="auto"/>
        <w:ind w:firstLine="360" w:firstLineChars="150"/>
        <w:rPr>
          <w:rFonts w:ascii="仿宋" w:hAnsi="仿宋" w:eastAsia="仿宋"/>
        </w:rPr>
      </w:pPr>
      <w:r>
        <w:rPr>
          <w:rFonts w:hint="eastAsia" w:ascii="仿宋" w:hAnsi="仿宋" w:eastAsia="仿宋"/>
        </w:rPr>
        <w:t>4</w:t>
      </w:r>
      <w:r>
        <w:rPr>
          <w:rFonts w:ascii="仿宋" w:hAnsi="仿宋" w:eastAsia="仿宋"/>
        </w:rPr>
        <w:t>.1</w:t>
      </w:r>
      <w:r>
        <w:rPr>
          <w:rFonts w:hint="eastAsia" w:ascii="仿宋" w:hAnsi="仿宋" w:eastAsia="仿宋"/>
        </w:rPr>
        <w:t>项目完工后，采购人应组织验收工作。</w:t>
      </w:r>
    </w:p>
    <w:p>
      <w:pPr>
        <w:spacing w:line="360" w:lineRule="auto"/>
        <w:ind w:firstLine="360" w:firstLineChars="150"/>
        <w:rPr>
          <w:rFonts w:ascii="仿宋" w:hAnsi="仿宋" w:eastAsia="仿宋"/>
        </w:rPr>
      </w:pPr>
      <w:r>
        <w:rPr>
          <w:rFonts w:hint="eastAsia" w:ascii="仿宋" w:hAnsi="仿宋" w:eastAsia="仿宋"/>
        </w:rPr>
        <w:t>4</w:t>
      </w:r>
      <w:r>
        <w:rPr>
          <w:rFonts w:ascii="仿宋" w:hAnsi="仿宋" w:eastAsia="仿宋"/>
        </w:rPr>
        <w:t xml:space="preserve">.2 </w:t>
      </w:r>
      <w:r>
        <w:rPr>
          <w:rFonts w:hint="eastAsia" w:ascii="仿宋" w:hAnsi="仿宋" w:eastAsia="仿宋"/>
        </w:rPr>
        <w:t>中标供应商应负责在项目验收时将系统的全部有关产品说明书、原厂家安装手册、技术文件、资料、及安装、验收报告等文档汇集成册交付设备使用单位和监理单位。</w:t>
      </w:r>
    </w:p>
    <w:p>
      <w:pPr>
        <w:spacing w:line="360" w:lineRule="auto"/>
        <w:ind w:firstLine="361" w:firstLineChars="150"/>
        <w:rPr>
          <w:rFonts w:ascii="仿宋" w:hAnsi="仿宋" w:eastAsia="仿宋"/>
          <w:b/>
        </w:rPr>
      </w:pPr>
      <w:r>
        <w:rPr>
          <w:rFonts w:ascii="仿宋" w:hAnsi="仿宋" w:eastAsia="仿宋"/>
          <w:b/>
        </w:rPr>
        <w:t>5</w:t>
      </w:r>
      <w:r>
        <w:rPr>
          <w:rFonts w:hint="eastAsia" w:ascii="仿宋" w:hAnsi="仿宋" w:eastAsia="仿宋"/>
          <w:b/>
        </w:rPr>
        <w:t>．响应时间：</w:t>
      </w:r>
    </w:p>
    <w:p>
      <w:pPr>
        <w:spacing w:line="360" w:lineRule="auto"/>
        <w:ind w:firstLine="360" w:firstLineChars="150"/>
        <w:rPr>
          <w:rFonts w:ascii="仿宋" w:hAnsi="仿宋" w:eastAsia="仿宋"/>
        </w:rPr>
      </w:pPr>
      <w:r>
        <w:rPr>
          <w:rFonts w:hint="eastAsia" w:ascii="仿宋" w:hAnsi="仿宋" w:eastAsia="仿宋"/>
        </w:rPr>
        <w:t>提供7×24小时电话技术支持，软件故障报修的响应时间：</w:t>
      </w:r>
      <w:r>
        <w:rPr>
          <w:rFonts w:ascii="仿宋" w:hAnsi="仿宋" w:eastAsia="仿宋"/>
        </w:rPr>
        <w:t>1</w:t>
      </w:r>
      <w:r>
        <w:rPr>
          <w:rFonts w:hint="eastAsia" w:ascii="仿宋" w:hAnsi="仿宋" w:eastAsia="仿宋"/>
        </w:rPr>
        <w:t>小时，若电话中无法解决，</w:t>
      </w:r>
      <w:r>
        <w:rPr>
          <w:rFonts w:ascii="仿宋" w:hAnsi="仿宋" w:eastAsia="仿宋"/>
        </w:rPr>
        <w:t>4</w:t>
      </w:r>
      <w:r>
        <w:rPr>
          <w:rFonts w:hint="eastAsia" w:ascii="仿宋" w:hAnsi="仿宋" w:eastAsia="仿宋"/>
        </w:rPr>
        <w:t>小时内到达现场进行维护。除特殊情况外，故障排除时间不超过24小时。</w:t>
      </w:r>
    </w:p>
    <w:p>
      <w:pPr>
        <w:spacing w:line="360" w:lineRule="auto"/>
        <w:ind w:firstLine="361" w:firstLineChars="150"/>
        <w:rPr>
          <w:rFonts w:ascii="仿宋" w:hAnsi="仿宋" w:eastAsia="仿宋"/>
          <w:b/>
        </w:rPr>
      </w:pPr>
      <w:r>
        <w:rPr>
          <w:rFonts w:ascii="仿宋" w:hAnsi="仿宋" w:eastAsia="仿宋"/>
          <w:b/>
        </w:rPr>
        <w:t>6</w:t>
      </w:r>
      <w:r>
        <w:rPr>
          <w:rFonts w:hint="eastAsia" w:ascii="仿宋" w:hAnsi="仿宋" w:eastAsia="仿宋"/>
          <w:b/>
        </w:rPr>
        <w:t>．售后服务要求：</w:t>
      </w:r>
    </w:p>
    <w:p>
      <w:pPr>
        <w:spacing w:line="360" w:lineRule="auto"/>
        <w:ind w:firstLine="360" w:firstLineChars="150"/>
        <w:rPr>
          <w:rFonts w:ascii="仿宋" w:hAnsi="仿宋" w:eastAsia="仿宋"/>
        </w:rPr>
      </w:pPr>
      <w:r>
        <w:rPr>
          <w:rFonts w:hint="eastAsia" w:ascii="仿宋" w:hAnsi="仿宋" w:eastAsia="仿宋"/>
        </w:rPr>
        <w:t>6</w:t>
      </w:r>
      <w:r>
        <w:rPr>
          <w:rFonts w:ascii="仿宋" w:hAnsi="仿宋" w:eastAsia="仿宋"/>
        </w:rPr>
        <w:t xml:space="preserve">.1 </w:t>
      </w:r>
      <w:r>
        <w:rPr>
          <w:rFonts w:hint="eastAsia" w:ascii="仿宋" w:hAnsi="仿宋" w:eastAsia="仿宋"/>
        </w:rPr>
        <w:t>免费维护期期限：验收之日起计算</w:t>
      </w:r>
      <w:r>
        <w:rPr>
          <w:rFonts w:ascii="仿宋" w:hAnsi="仿宋" w:eastAsia="仿宋"/>
        </w:rPr>
        <w:t>3</w:t>
      </w:r>
      <w:r>
        <w:rPr>
          <w:rFonts w:hint="eastAsia" w:ascii="仿宋" w:hAnsi="仿宋" w:eastAsia="仿宋"/>
        </w:rPr>
        <w:t>年。</w:t>
      </w:r>
    </w:p>
    <w:p>
      <w:pPr>
        <w:spacing w:line="360" w:lineRule="auto"/>
        <w:ind w:firstLine="360" w:firstLineChars="150"/>
        <w:rPr>
          <w:rFonts w:ascii="仿宋" w:hAnsi="仿宋" w:eastAsia="仿宋"/>
        </w:rPr>
      </w:pPr>
      <w:r>
        <w:rPr>
          <w:rFonts w:hint="eastAsia" w:ascii="仿宋" w:hAnsi="仿宋" w:eastAsia="仿宋"/>
        </w:rPr>
        <w:t>6</w:t>
      </w:r>
      <w:r>
        <w:rPr>
          <w:rFonts w:ascii="仿宋" w:hAnsi="仿宋" w:eastAsia="仿宋"/>
        </w:rPr>
        <w:t xml:space="preserve">.2 </w:t>
      </w:r>
      <w:r>
        <w:rPr>
          <w:rFonts w:hint="eastAsia" w:ascii="仿宋" w:hAnsi="仿宋" w:eastAsia="仿宋"/>
        </w:rPr>
        <w:t>质保期自双方代表在软件及设备安装调试后的验收证明文件上签字之日起计算，具体按国家或行业有关标准由买卖双方在合同中约定。</w:t>
      </w:r>
    </w:p>
    <w:p>
      <w:pPr>
        <w:spacing w:line="360" w:lineRule="auto"/>
        <w:ind w:firstLine="360" w:firstLineChars="150"/>
        <w:rPr>
          <w:rFonts w:ascii="仿宋" w:hAnsi="仿宋" w:eastAsia="仿宋"/>
        </w:rPr>
      </w:pPr>
      <w:r>
        <w:rPr>
          <w:rFonts w:hint="eastAsia" w:ascii="仿宋" w:hAnsi="仿宋" w:eastAsia="仿宋"/>
        </w:rPr>
        <w:t>6</w:t>
      </w:r>
      <w:r>
        <w:rPr>
          <w:rFonts w:ascii="仿宋" w:hAnsi="仿宋" w:eastAsia="仿宋"/>
        </w:rPr>
        <w:t xml:space="preserve">.3 </w:t>
      </w:r>
      <w:r>
        <w:rPr>
          <w:rFonts w:hint="eastAsia" w:ascii="仿宋" w:hAnsi="仿宋" w:eastAsia="仿宋"/>
        </w:rPr>
        <w:t>维护期内，所有软件服务均为上门服务，由此产生的费用均不再收取。</w:t>
      </w:r>
    </w:p>
    <w:p>
      <w:pPr>
        <w:spacing w:line="360" w:lineRule="auto"/>
        <w:ind w:firstLine="361" w:firstLineChars="150"/>
        <w:rPr>
          <w:rFonts w:ascii="仿宋" w:hAnsi="仿宋" w:eastAsia="仿宋"/>
          <w:b/>
        </w:rPr>
      </w:pPr>
      <w:r>
        <w:rPr>
          <w:rFonts w:ascii="仿宋" w:hAnsi="仿宋" w:eastAsia="仿宋"/>
          <w:b/>
        </w:rPr>
        <w:t>7</w:t>
      </w:r>
      <w:r>
        <w:rPr>
          <w:rFonts w:hint="eastAsia" w:ascii="仿宋" w:hAnsi="仿宋" w:eastAsia="仿宋"/>
          <w:b/>
        </w:rPr>
        <w:t>．培训要求：</w:t>
      </w:r>
    </w:p>
    <w:p>
      <w:pPr>
        <w:spacing w:line="360" w:lineRule="auto"/>
        <w:ind w:firstLine="360" w:firstLineChars="150"/>
        <w:rPr>
          <w:rFonts w:ascii="仿宋" w:hAnsi="仿宋" w:eastAsia="仿宋"/>
        </w:rPr>
      </w:pPr>
      <w:r>
        <w:rPr>
          <w:rFonts w:hint="eastAsia" w:ascii="仿宋" w:hAnsi="仿宋" w:eastAsia="仿宋"/>
        </w:rPr>
        <w:t>7</w:t>
      </w:r>
      <w:r>
        <w:rPr>
          <w:rFonts w:ascii="仿宋" w:hAnsi="仿宋" w:eastAsia="仿宋"/>
        </w:rPr>
        <w:t xml:space="preserve">.1 </w:t>
      </w:r>
      <w:r>
        <w:rPr>
          <w:rFonts w:hint="eastAsia" w:ascii="仿宋" w:hAnsi="仿宋" w:eastAsia="仿宋"/>
        </w:rPr>
        <w:t>制定详细的培训方案，提供技术培训、操作培训和现场指导，完成对系统集成、开发技术及工具等在内的全部免费培训。培训方案要详细描述每次培训的具体内容、深度和时间安排。</w:t>
      </w:r>
    </w:p>
    <w:p>
      <w:pPr>
        <w:spacing w:line="360" w:lineRule="auto"/>
        <w:ind w:firstLine="360" w:firstLineChars="150"/>
        <w:rPr>
          <w:rFonts w:ascii="仿宋" w:hAnsi="仿宋" w:eastAsia="仿宋"/>
        </w:rPr>
      </w:pPr>
      <w:r>
        <w:rPr>
          <w:rFonts w:hint="eastAsia" w:ascii="仿宋" w:hAnsi="仿宋" w:eastAsia="仿宋"/>
        </w:rPr>
        <w:t>7</w:t>
      </w:r>
      <w:r>
        <w:rPr>
          <w:rFonts w:ascii="仿宋" w:hAnsi="仿宋" w:eastAsia="仿宋"/>
        </w:rPr>
        <w:t xml:space="preserve">.2 </w:t>
      </w:r>
      <w:r>
        <w:rPr>
          <w:rFonts w:hint="eastAsia" w:ascii="仿宋" w:hAnsi="仿宋" w:eastAsia="仿宋"/>
        </w:rPr>
        <w:t>培训方式应包括技术讲课、操作示范、参观学习和其它必须的业务指导和技术咨询，确保培训人员对系统基本原理、技术特性、操作规范、运行规程、管理维护等方面获得全面了解和掌握。</w:t>
      </w:r>
    </w:p>
    <w:p>
      <w:pPr>
        <w:spacing w:line="360" w:lineRule="auto"/>
        <w:ind w:firstLine="361" w:firstLineChars="150"/>
        <w:rPr>
          <w:rFonts w:ascii="仿宋" w:hAnsi="仿宋" w:eastAsia="仿宋"/>
          <w:b/>
        </w:rPr>
      </w:pPr>
      <w:r>
        <w:rPr>
          <w:rFonts w:ascii="仿宋" w:hAnsi="仿宋" w:eastAsia="仿宋"/>
          <w:b/>
        </w:rPr>
        <w:t>8</w:t>
      </w:r>
      <w:r>
        <w:rPr>
          <w:rFonts w:hint="eastAsia" w:ascii="仿宋" w:hAnsi="仿宋" w:eastAsia="仿宋"/>
          <w:b/>
        </w:rPr>
        <w:t>．报价要求：</w:t>
      </w:r>
    </w:p>
    <w:p>
      <w:pPr>
        <w:spacing w:line="360" w:lineRule="auto"/>
        <w:ind w:firstLine="360" w:firstLineChars="150"/>
        <w:rPr>
          <w:rFonts w:ascii="仿宋" w:hAnsi="仿宋" w:eastAsia="仿宋"/>
        </w:rPr>
      </w:pPr>
      <w:r>
        <w:rPr>
          <w:rFonts w:hint="eastAsia" w:ascii="仿宋" w:hAnsi="仿宋" w:eastAsia="仿宋"/>
        </w:rPr>
        <w:t>8</w:t>
      </w:r>
      <w:r>
        <w:rPr>
          <w:rFonts w:ascii="仿宋" w:hAnsi="仿宋" w:eastAsia="仿宋"/>
        </w:rPr>
        <w:t xml:space="preserve">.1 </w:t>
      </w:r>
      <w:r>
        <w:rPr>
          <w:rFonts w:hint="eastAsia" w:ascii="仿宋" w:hAnsi="仿宋" w:eastAsia="仿宋"/>
        </w:rPr>
        <w:t>投标人报价中必须包括项目全部内容的费用（开发、调试、验收、税金等）。</w:t>
      </w:r>
    </w:p>
    <w:p>
      <w:pPr>
        <w:spacing w:line="360" w:lineRule="auto"/>
        <w:ind w:firstLine="361" w:firstLineChars="150"/>
        <w:rPr>
          <w:rFonts w:ascii="仿宋" w:hAnsi="仿宋" w:eastAsia="仿宋"/>
          <w:b/>
        </w:rPr>
      </w:pPr>
      <w:r>
        <w:rPr>
          <w:rFonts w:ascii="仿宋" w:hAnsi="仿宋" w:eastAsia="仿宋"/>
          <w:b/>
        </w:rPr>
        <w:t>9</w:t>
      </w:r>
      <w:r>
        <w:rPr>
          <w:rFonts w:hint="eastAsia" w:ascii="仿宋" w:hAnsi="仿宋" w:eastAsia="仿宋"/>
          <w:b/>
        </w:rPr>
        <w:t>．付款方式：</w:t>
      </w:r>
    </w:p>
    <w:p>
      <w:pPr>
        <w:spacing w:line="360" w:lineRule="auto"/>
        <w:ind w:firstLine="360" w:firstLineChars="150"/>
        <w:rPr>
          <w:rFonts w:ascii="仿宋" w:hAnsi="仿宋" w:eastAsia="仿宋"/>
        </w:rPr>
      </w:pPr>
      <w:bookmarkStart w:id="3" w:name="_Hlk508984413"/>
      <w:r>
        <w:rPr>
          <w:rFonts w:hint="eastAsia" w:ascii="仿宋" w:hAnsi="仿宋" w:eastAsia="仿宋"/>
        </w:rPr>
        <w:t>9</w:t>
      </w:r>
      <w:r>
        <w:rPr>
          <w:rFonts w:ascii="仿宋" w:hAnsi="仿宋" w:eastAsia="仿宋"/>
        </w:rPr>
        <w:t xml:space="preserve">.1 </w:t>
      </w:r>
      <w:r>
        <w:rPr>
          <w:rFonts w:hint="eastAsia" w:ascii="仿宋" w:hAnsi="仿宋" w:eastAsia="仿宋"/>
        </w:rPr>
        <w:t>合同签订后，10个工作日内，凭投标人开具的有效发票，采购人方向投标人支付合同全款金额的</w:t>
      </w:r>
      <w:r>
        <w:rPr>
          <w:rFonts w:ascii="仿宋" w:hAnsi="仿宋" w:eastAsia="仿宋"/>
        </w:rPr>
        <w:t>50</w:t>
      </w:r>
      <w:r>
        <w:rPr>
          <w:rFonts w:hint="eastAsia" w:ascii="仿宋" w:hAnsi="仿宋" w:eastAsia="仿宋"/>
        </w:rPr>
        <w:t>%；</w:t>
      </w:r>
    </w:p>
    <w:bookmarkEnd w:id="3"/>
    <w:p>
      <w:pPr>
        <w:spacing w:line="360" w:lineRule="auto"/>
        <w:ind w:firstLine="360" w:firstLineChars="150"/>
        <w:rPr>
          <w:rFonts w:ascii="仿宋" w:hAnsi="仿宋" w:eastAsia="仿宋"/>
        </w:rPr>
      </w:pPr>
      <w:r>
        <w:rPr>
          <w:rFonts w:hint="eastAsia" w:ascii="仿宋" w:hAnsi="仿宋" w:eastAsia="仿宋"/>
        </w:rPr>
        <w:t>9</w:t>
      </w:r>
      <w:r>
        <w:rPr>
          <w:rFonts w:ascii="仿宋" w:hAnsi="仿宋" w:eastAsia="仿宋"/>
        </w:rPr>
        <w:t xml:space="preserve">.2 </w:t>
      </w:r>
      <w:r>
        <w:rPr>
          <w:rFonts w:hint="eastAsia" w:ascii="仿宋" w:hAnsi="仿宋" w:eastAsia="仿宋"/>
        </w:rPr>
        <w:t>软件调试完毕、试运行经验收合格后10个工作日内，凭正式有效发票，采购人向投标人支付合同全款金额的</w:t>
      </w:r>
      <w:r>
        <w:rPr>
          <w:rFonts w:ascii="仿宋" w:hAnsi="仿宋" w:eastAsia="仿宋"/>
        </w:rPr>
        <w:t>50</w:t>
      </w:r>
      <w:r>
        <w:rPr>
          <w:rFonts w:hint="eastAsia" w:ascii="仿宋" w:hAnsi="仿宋" w:eastAsia="仿宋"/>
        </w:rPr>
        <w:t>%；</w:t>
      </w:r>
    </w:p>
    <w:p>
      <w:pPr>
        <w:spacing w:line="360" w:lineRule="auto"/>
        <w:ind w:firstLine="360" w:firstLineChars="150"/>
        <w:rPr>
          <w:rFonts w:ascii="仿宋" w:hAnsi="仿宋" w:eastAsia="仿宋"/>
        </w:rPr>
      </w:pPr>
      <w:r>
        <w:rPr>
          <w:rFonts w:hint="eastAsia" w:ascii="仿宋" w:hAnsi="仿宋" w:eastAsia="仿宋"/>
        </w:rPr>
        <w:t>9</w:t>
      </w:r>
      <w:r>
        <w:rPr>
          <w:rFonts w:ascii="仿宋" w:hAnsi="仿宋" w:eastAsia="仿宋"/>
        </w:rPr>
        <w:t xml:space="preserve">.3 </w:t>
      </w:r>
      <w:r>
        <w:rPr>
          <w:rFonts w:hint="eastAsia" w:ascii="仿宋" w:hAnsi="仿宋" w:eastAsia="仿宋"/>
        </w:rPr>
        <w:t>履约保证金：</w:t>
      </w:r>
    </w:p>
    <w:p>
      <w:pPr>
        <w:spacing w:line="360" w:lineRule="auto"/>
        <w:ind w:firstLine="360" w:firstLineChars="150"/>
        <w:rPr>
          <w:rFonts w:ascii="仿宋" w:hAnsi="仿宋" w:eastAsia="仿宋"/>
        </w:rPr>
      </w:pPr>
      <w:r>
        <w:rPr>
          <w:rFonts w:hint="eastAsia" w:ascii="仿宋" w:hAnsi="仿宋" w:eastAsia="仿宋"/>
        </w:rPr>
        <w:t>合同签订后，</w:t>
      </w:r>
      <w:r>
        <w:rPr>
          <w:rFonts w:ascii="仿宋" w:hAnsi="仿宋" w:eastAsia="仿宋"/>
        </w:rPr>
        <w:t>7</w:t>
      </w:r>
      <w:r>
        <w:rPr>
          <w:rFonts w:hint="eastAsia" w:ascii="仿宋" w:hAnsi="仿宋" w:eastAsia="仿宋"/>
        </w:rPr>
        <w:t>个工作日内，投标人向采购人支付合同全款金额的5%作为项目履约保证金，质保期满后，凭汇款凭证及合同，采购人方将履约保证金全款（无息）退回投标人方银行账户。</w:t>
      </w:r>
    </w:p>
    <w:p>
      <w:pPr>
        <w:spacing w:line="360" w:lineRule="auto"/>
        <w:ind w:firstLine="360" w:firstLineChars="150"/>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73AC"/>
    <w:rsid w:val="000B2594"/>
    <w:rsid w:val="000E3BAB"/>
    <w:rsid w:val="00130C62"/>
    <w:rsid w:val="00135A74"/>
    <w:rsid w:val="001673AC"/>
    <w:rsid w:val="0019172E"/>
    <w:rsid w:val="00263577"/>
    <w:rsid w:val="00263FDE"/>
    <w:rsid w:val="002D3526"/>
    <w:rsid w:val="00314D6E"/>
    <w:rsid w:val="00322F10"/>
    <w:rsid w:val="003232D3"/>
    <w:rsid w:val="003B6BC8"/>
    <w:rsid w:val="00472646"/>
    <w:rsid w:val="00476F8C"/>
    <w:rsid w:val="00516995"/>
    <w:rsid w:val="0057406A"/>
    <w:rsid w:val="0058637D"/>
    <w:rsid w:val="00593745"/>
    <w:rsid w:val="00603092"/>
    <w:rsid w:val="006E6D0B"/>
    <w:rsid w:val="0074342E"/>
    <w:rsid w:val="007827C6"/>
    <w:rsid w:val="007E0FCA"/>
    <w:rsid w:val="00820BA7"/>
    <w:rsid w:val="008244F5"/>
    <w:rsid w:val="008D12FB"/>
    <w:rsid w:val="00990BD4"/>
    <w:rsid w:val="009E4F8F"/>
    <w:rsid w:val="00A1444E"/>
    <w:rsid w:val="00A22C32"/>
    <w:rsid w:val="00B015C9"/>
    <w:rsid w:val="00B31861"/>
    <w:rsid w:val="00B83F5C"/>
    <w:rsid w:val="00B87211"/>
    <w:rsid w:val="00BC13E0"/>
    <w:rsid w:val="00BF5EF2"/>
    <w:rsid w:val="00C01A71"/>
    <w:rsid w:val="00C04732"/>
    <w:rsid w:val="00C05DFE"/>
    <w:rsid w:val="00C76055"/>
    <w:rsid w:val="00CB2743"/>
    <w:rsid w:val="00D61344"/>
    <w:rsid w:val="00D92E90"/>
    <w:rsid w:val="00E05230"/>
    <w:rsid w:val="00E4087A"/>
    <w:rsid w:val="00EC2CDB"/>
    <w:rsid w:val="00EC6930"/>
    <w:rsid w:val="00ED5D05"/>
    <w:rsid w:val="00F802C9"/>
    <w:rsid w:val="03D73241"/>
    <w:rsid w:val="05B357DD"/>
    <w:rsid w:val="05BD4CFA"/>
    <w:rsid w:val="28BE4196"/>
    <w:rsid w:val="57A5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8"/>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4">
    <w:name w:val="Title"/>
    <w:basedOn w:val="1"/>
    <w:next w:val="1"/>
    <w:link w:val="11"/>
    <w:qFormat/>
    <w:uiPriority w:val="10"/>
    <w:pPr>
      <w:widowControl w:val="0"/>
      <w:spacing w:before="240" w:after="60"/>
      <w:jc w:val="center"/>
      <w:outlineLvl w:val="0"/>
    </w:pPr>
    <w:rPr>
      <w:rFonts w:asciiTheme="majorHAnsi" w:hAnsiTheme="majorHAnsi" w:cstheme="majorBidi"/>
      <w:b/>
      <w:bCs/>
      <w:kern w:val="2"/>
      <w:sz w:val="32"/>
      <w:szCs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semiHidden/>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1">
    <w:name w:val="标题 字符"/>
    <w:basedOn w:val="7"/>
    <w:link w:val="4"/>
    <w:uiPriority w:val="10"/>
    <w:rPr>
      <w:rFonts w:eastAsia="宋体" w:asciiTheme="majorHAnsi" w:hAnsiTheme="majorHAnsi" w:cstheme="majorBidi"/>
      <w:b/>
      <w:bCs/>
      <w:sz w:val="32"/>
      <w:szCs w:val="32"/>
    </w:rPr>
  </w:style>
  <w:style w:type="paragraph" w:customStyle="1" w:styleId="12">
    <w:name w:val="正文样式"/>
    <w:basedOn w:val="1"/>
    <w:link w:val="13"/>
    <w:qFormat/>
    <w:uiPriority w:val="0"/>
    <w:pPr>
      <w:widowControl w:val="0"/>
      <w:spacing w:line="360" w:lineRule="auto"/>
      <w:ind w:firstLine="480" w:firstLineChars="200"/>
    </w:pPr>
    <w:rPr>
      <w:rFonts w:ascii="Times New Roman" w:hAnsi="Times New Roman" w:cs="Times New Roman"/>
      <w:kern w:val="2"/>
    </w:rPr>
  </w:style>
  <w:style w:type="character" w:customStyle="1" w:styleId="13">
    <w:name w:val="正文样式 Char"/>
    <w:link w:val="12"/>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4AEE8-FC96-4A28-8CAA-C8416CA1648E}">
  <ds:schemaRefs/>
</ds:datastoreItem>
</file>

<file path=customXml/itemProps3.xml><?xml version="1.0" encoding="utf-8"?>
<ds:datastoreItem xmlns:ds="http://schemas.openxmlformats.org/officeDocument/2006/customXml" ds:itemID="{4E07C1E1-B18C-4B9A-AB7B-685F7CB44145}">
  <ds:schemaRefs/>
</ds:datastoreItem>
</file>

<file path=docProps/app.xml><?xml version="1.0" encoding="utf-8"?>
<Properties xmlns="http://schemas.openxmlformats.org/officeDocument/2006/extended-properties" xmlns:vt="http://schemas.openxmlformats.org/officeDocument/2006/docPropsVTypes">
  <Template>Normal.dotm</Template>
  <Company>Zb.Com</Company>
  <Pages>5</Pages>
  <Words>649</Words>
  <Characters>3704</Characters>
  <Lines>30</Lines>
  <Paragraphs>8</Paragraphs>
  <TotalTime>14</TotalTime>
  <ScaleCrop>false</ScaleCrop>
  <LinksUpToDate>false</LinksUpToDate>
  <CharactersWithSpaces>4345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2023-04-12T03:31:00Z</dcterms:created>
  <dc:creator>杨胤</dc:creator>
  <cp:lastModifiedBy>未知</cp:lastModifiedBy>
  <cp:lastPrinted>2023-05-25T02:47:00Z</cp:lastPrinted>
  <dcterms:modified xsi:type="dcterms:W3CDTF">2023-06-12T00:38:44Z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